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70" w:type="dxa"/>
        <w:tblLook w:val="04A0" w:firstRow="1" w:lastRow="0" w:firstColumn="1" w:lastColumn="0" w:noHBand="0" w:noVBand="1"/>
      </w:tblPr>
      <w:tblGrid>
        <w:gridCol w:w="5665"/>
        <w:gridCol w:w="3605"/>
      </w:tblGrid>
      <w:tr w:rsidR="002918F7" w14:paraId="60147ADE" w14:textId="77777777" w:rsidTr="00D4645B">
        <w:trPr>
          <w:trHeight w:val="1141"/>
        </w:trPr>
        <w:tc>
          <w:tcPr>
            <w:tcW w:w="5665" w:type="dxa"/>
            <w:tcBorders>
              <w:top w:val="nil"/>
              <w:left w:val="nil"/>
              <w:bottom w:val="single" w:sz="4" w:space="0" w:color="auto"/>
              <w:right w:val="nil"/>
            </w:tcBorders>
          </w:tcPr>
          <w:p w14:paraId="197AD9E1" w14:textId="77777777" w:rsidR="002918F7" w:rsidRDefault="002918F7" w:rsidP="00D4645B">
            <w:r>
              <w:t>STATE OF MINNESOTA</w:t>
            </w:r>
          </w:p>
          <w:p w14:paraId="190555CC" w14:textId="77777777" w:rsidR="002918F7" w:rsidRDefault="002918F7" w:rsidP="00D4645B"/>
          <w:p w14:paraId="7CB92A67" w14:textId="77777777" w:rsidR="002918F7" w:rsidRDefault="002918F7" w:rsidP="00D4645B">
            <w:r>
              <w:t xml:space="preserve">COUNTY OF [             </w:t>
            </w:r>
            <w:proofErr w:type="gramStart"/>
            <w:r>
              <w:t xml:space="preserve">  ]</w:t>
            </w:r>
            <w:proofErr w:type="gramEnd"/>
          </w:p>
        </w:tc>
        <w:tc>
          <w:tcPr>
            <w:tcW w:w="3605" w:type="dxa"/>
            <w:tcBorders>
              <w:top w:val="nil"/>
              <w:left w:val="nil"/>
              <w:bottom w:val="single" w:sz="4" w:space="0" w:color="auto"/>
              <w:right w:val="nil"/>
            </w:tcBorders>
          </w:tcPr>
          <w:p w14:paraId="669CB391" w14:textId="77777777" w:rsidR="002918F7" w:rsidRDefault="002918F7" w:rsidP="00D4645B">
            <w:pPr>
              <w:jc w:val="right"/>
            </w:pPr>
            <w:r>
              <w:t xml:space="preserve">[          </w:t>
            </w:r>
            <w:proofErr w:type="gramStart"/>
            <w:r>
              <w:t xml:space="preserve">  ]</w:t>
            </w:r>
            <w:proofErr w:type="gramEnd"/>
            <w:r>
              <w:t xml:space="preserve"> JUDICIAL DISTRICT</w:t>
            </w:r>
          </w:p>
          <w:p w14:paraId="24A1AF26" w14:textId="77777777" w:rsidR="002918F7" w:rsidRDefault="002918F7" w:rsidP="00D4645B">
            <w:pPr>
              <w:jc w:val="right"/>
            </w:pPr>
          </w:p>
          <w:p w14:paraId="69C906BD" w14:textId="77777777" w:rsidR="002918F7" w:rsidRDefault="002918F7" w:rsidP="00D4645B">
            <w:pPr>
              <w:jc w:val="right"/>
            </w:pPr>
            <w:r>
              <w:t>HOUSING COURT DIVISION</w:t>
            </w:r>
          </w:p>
        </w:tc>
      </w:tr>
      <w:tr w:rsidR="002918F7" w14:paraId="22BEDE10" w14:textId="77777777" w:rsidTr="00D4645B">
        <w:trPr>
          <w:trHeight w:val="1141"/>
        </w:trPr>
        <w:tc>
          <w:tcPr>
            <w:tcW w:w="5665" w:type="dxa"/>
            <w:tcBorders>
              <w:top w:val="single" w:sz="4" w:space="0" w:color="auto"/>
              <w:left w:val="nil"/>
              <w:bottom w:val="single" w:sz="4" w:space="0" w:color="auto"/>
              <w:right w:val="nil"/>
            </w:tcBorders>
          </w:tcPr>
          <w:p w14:paraId="0CBA7A4E" w14:textId="77777777" w:rsidR="002918F7" w:rsidRDefault="002918F7" w:rsidP="00D4645B"/>
          <w:p w14:paraId="68F2CC23" w14:textId="77777777" w:rsidR="002918F7" w:rsidRDefault="002918F7" w:rsidP="00D4645B"/>
          <w:p w14:paraId="458E57B2" w14:textId="77777777" w:rsidR="002918F7" w:rsidRDefault="002918F7" w:rsidP="00D4645B"/>
          <w:p w14:paraId="00C7209C" w14:textId="77777777" w:rsidR="002918F7" w:rsidRDefault="002918F7" w:rsidP="00D4645B">
            <w:pPr>
              <w:ind w:firstLine="793"/>
            </w:pPr>
            <w:r>
              <w:t>Plaintiff,</w:t>
            </w:r>
          </w:p>
          <w:p w14:paraId="723AA516" w14:textId="77777777" w:rsidR="002918F7" w:rsidRDefault="002918F7" w:rsidP="00D4645B"/>
          <w:p w14:paraId="4EDC2179" w14:textId="77777777" w:rsidR="002918F7" w:rsidRDefault="002918F7" w:rsidP="00D4645B">
            <w:r>
              <w:t xml:space="preserve">v. </w:t>
            </w:r>
          </w:p>
          <w:p w14:paraId="6DFCF44C" w14:textId="77777777" w:rsidR="002918F7" w:rsidRDefault="002918F7" w:rsidP="00D4645B"/>
          <w:p w14:paraId="1C35038B" w14:textId="77777777" w:rsidR="002918F7" w:rsidRDefault="002918F7" w:rsidP="00D4645B"/>
          <w:p w14:paraId="38D5AFC2" w14:textId="77777777" w:rsidR="002918F7" w:rsidRDefault="002918F7" w:rsidP="00D4645B"/>
          <w:p w14:paraId="78C46B28" w14:textId="77777777" w:rsidR="002918F7" w:rsidRDefault="002918F7" w:rsidP="00D4645B">
            <w:pPr>
              <w:ind w:firstLine="703"/>
            </w:pPr>
            <w:r>
              <w:t>Defendant.</w:t>
            </w:r>
          </w:p>
          <w:p w14:paraId="224FDAE3" w14:textId="77777777" w:rsidR="002918F7" w:rsidRPr="001D3342" w:rsidRDefault="002918F7" w:rsidP="00D4645B">
            <w:pPr>
              <w:pStyle w:val="NoSpacing"/>
            </w:pPr>
          </w:p>
        </w:tc>
        <w:tc>
          <w:tcPr>
            <w:tcW w:w="3605" w:type="dxa"/>
            <w:tcBorders>
              <w:top w:val="single" w:sz="4" w:space="0" w:color="auto"/>
              <w:left w:val="nil"/>
              <w:bottom w:val="single" w:sz="4" w:space="0" w:color="auto"/>
              <w:right w:val="nil"/>
            </w:tcBorders>
          </w:tcPr>
          <w:p w14:paraId="6C8D0BF5" w14:textId="77777777" w:rsidR="002918F7" w:rsidRDefault="002918F7" w:rsidP="00D4645B"/>
          <w:p w14:paraId="7A109981" w14:textId="77777777" w:rsidR="002918F7" w:rsidRDefault="002918F7" w:rsidP="00D4645B"/>
          <w:p w14:paraId="69DDF275" w14:textId="77777777" w:rsidR="002918F7" w:rsidRDefault="002918F7" w:rsidP="00D4645B"/>
          <w:p w14:paraId="02AB5171" w14:textId="77777777" w:rsidR="002918F7" w:rsidRDefault="002918F7" w:rsidP="00D4645B">
            <w:pPr>
              <w:rPr>
                <w:b/>
              </w:rPr>
            </w:pPr>
          </w:p>
          <w:p w14:paraId="016014DA" w14:textId="77777777" w:rsidR="002918F7" w:rsidRDefault="002918F7" w:rsidP="00D4645B">
            <w:pPr>
              <w:jc w:val="center"/>
              <w:rPr>
                <w:b/>
              </w:rPr>
            </w:pPr>
            <w:r>
              <w:rPr>
                <w:b/>
              </w:rPr>
              <w:t xml:space="preserve">ORDER GRANTING </w:t>
            </w:r>
          </w:p>
          <w:p w14:paraId="5E0C9689" w14:textId="00ED3DB1" w:rsidR="002918F7" w:rsidRDefault="002918F7" w:rsidP="00D4645B">
            <w:pPr>
              <w:jc w:val="center"/>
              <w:rPr>
                <w:b/>
              </w:rPr>
            </w:pPr>
            <w:r>
              <w:rPr>
                <w:b/>
              </w:rPr>
              <w:t xml:space="preserve">IN </w:t>
            </w:r>
            <w:r w:rsidR="00866EB7">
              <w:rPr>
                <w:b/>
              </w:rPr>
              <w:t>FEE WAIVER</w:t>
            </w:r>
            <w:r>
              <w:rPr>
                <w:b/>
              </w:rPr>
              <w:t xml:space="preserve"> APPLICATION</w:t>
            </w:r>
          </w:p>
          <w:p w14:paraId="23F7DE1B" w14:textId="77777777" w:rsidR="002918F7" w:rsidRDefault="002918F7" w:rsidP="00D4645B">
            <w:pPr>
              <w:rPr>
                <w:b/>
              </w:rPr>
            </w:pPr>
          </w:p>
          <w:p w14:paraId="77107E75" w14:textId="77777777" w:rsidR="002918F7" w:rsidRDefault="002918F7" w:rsidP="00D4645B">
            <w:pPr>
              <w:rPr>
                <w:b/>
              </w:rPr>
            </w:pPr>
          </w:p>
          <w:p w14:paraId="4ED047BD" w14:textId="77777777" w:rsidR="002918F7" w:rsidRDefault="002918F7" w:rsidP="00D4645B">
            <w:pPr>
              <w:jc w:val="center"/>
              <w:rPr>
                <w:b/>
              </w:rPr>
            </w:pPr>
            <w:r>
              <w:rPr>
                <w:b/>
              </w:rPr>
              <w:t xml:space="preserve">CASE NO. </w:t>
            </w:r>
          </w:p>
          <w:p w14:paraId="275CF39B" w14:textId="77777777" w:rsidR="002918F7" w:rsidRDefault="002918F7" w:rsidP="00D4645B">
            <w:pPr>
              <w:rPr>
                <w:b/>
              </w:rPr>
            </w:pPr>
          </w:p>
          <w:p w14:paraId="33FA41E6" w14:textId="77777777" w:rsidR="002918F7" w:rsidRPr="003F799D" w:rsidRDefault="002918F7" w:rsidP="00D4645B">
            <w:pPr>
              <w:rPr>
                <w:b/>
              </w:rPr>
            </w:pPr>
          </w:p>
        </w:tc>
      </w:tr>
    </w:tbl>
    <w:p w14:paraId="0F59C68F" w14:textId="77777777" w:rsidR="002918F7" w:rsidRDefault="002918F7" w:rsidP="002918F7">
      <w:pPr>
        <w:jc w:val="center"/>
        <w:rPr>
          <w:b/>
        </w:rPr>
      </w:pPr>
    </w:p>
    <w:p w14:paraId="02231F04" w14:textId="7BDF3AA7" w:rsidR="002918F7" w:rsidRPr="001F7527" w:rsidRDefault="002918F7" w:rsidP="002918F7">
      <w:pPr>
        <w:jc w:val="center"/>
        <w:rPr>
          <w:b/>
        </w:rPr>
      </w:pPr>
      <w:r w:rsidRPr="001F7527">
        <w:rPr>
          <w:b/>
        </w:rPr>
        <w:t xml:space="preserve">Order Granting </w:t>
      </w:r>
      <w:r w:rsidR="00866EB7">
        <w:rPr>
          <w:b/>
        </w:rPr>
        <w:t>Fee Waiver</w:t>
      </w:r>
      <w:r w:rsidRPr="001F7527">
        <w:rPr>
          <w:b/>
        </w:rPr>
        <w:t xml:space="preserve"> Application</w:t>
      </w:r>
    </w:p>
    <w:p w14:paraId="18697F5F" w14:textId="77777777" w:rsidR="002918F7" w:rsidRDefault="002918F7" w:rsidP="002918F7"/>
    <w:p w14:paraId="22482BB8" w14:textId="77777777" w:rsidR="002918F7" w:rsidRDefault="002918F7" w:rsidP="002918F7">
      <w:r>
        <w:t>Based on the Affidavit of the applicant [</w:t>
      </w:r>
      <w:r>
        <w:tab/>
        <w:t>], and the authority of Minn. Stat. § 563.01, the Court finds:</w:t>
      </w:r>
    </w:p>
    <w:p w14:paraId="45C1F1E8" w14:textId="77777777" w:rsidR="002918F7" w:rsidRDefault="002918F7" w:rsidP="002918F7"/>
    <w:p w14:paraId="3C6A36BC" w14:textId="77777777" w:rsidR="002918F7" w:rsidRDefault="002918F7" w:rsidP="002918F7">
      <w:pPr>
        <w:ind w:left="720"/>
      </w:pPr>
      <w:r>
        <w:t xml:space="preserve">1. The applicant’s claims are not </w:t>
      </w:r>
      <w:proofErr w:type="gramStart"/>
      <w:r>
        <w:t>frivolous</w:t>
      </w:r>
      <w:proofErr w:type="gramEnd"/>
      <w:r>
        <w:t xml:space="preserve"> and the applicant is financially unable to pay any fees and entitled to proceed in forma pauperis. </w:t>
      </w:r>
    </w:p>
    <w:p w14:paraId="51C2A1E3" w14:textId="77777777" w:rsidR="002918F7" w:rsidRDefault="002918F7" w:rsidP="002918F7"/>
    <w:p w14:paraId="32C96845" w14:textId="77777777" w:rsidR="002918F7" w:rsidRPr="001F7527" w:rsidRDefault="002918F7" w:rsidP="002918F7">
      <w:pPr>
        <w:rPr>
          <w:b/>
        </w:rPr>
      </w:pPr>
      <w:r w:rsidRPr="001F7527">
        <w:rPr>
          <w:b/>
        </w:rPr>
        <w:t>IT IS ORDERED THAT:</w:t>
      </w:r>
    </w:p>
    <w:p w14:paraId="73B1DAA2" w14:textId="77777777" w:rsidR="002918F7" w:rsidRDefault="002918F7" w:rsidP="002918F7"/>
    <w:p w14:paraId="75EB85F4" w14:textId="77FEB559" w:rsidR="002918F7" w:rsidRDefault="002918F7" w:rsidP="002918F7">
      <w:pPr>
        <w:ind w:left="720"/>
      </w:pPr>
      <w:r>
        <w:t xml:space="preserve">1.  The applicant shall not be required to pay any fees, </w:t>
      </w:r>
      <w:proofErr w:type="gramStart"/>
      <w:r>
        <w:t>costs</w:t>
      </w:r>
      <w:proofErr w:type="gramEnd"/>
      <w:r>
        <w:t xml:space="preserve"> and security.</w:t>
      </w:r>
    </w:p>
    <w:p w14:paraId="677ECECF" w14:textId="77777777" w:rsidR="002918F7" w:rsidRDefault="002918F7" w:rsidP="002918F7">
      <w:pPr>
        <w:ind w:left="720"/>
      </w:pPr>
    </w:p>
    <w:p w14:paraId="06D0CE11" w14:textId="286A47A9" w:rsidR="002918F7" w:rsidRDefault="00866EB7" w:rsidP="002918F7">
      <w:pPr>
        <w:ind w:left="720"/>
      </w:pPr>
      <w:r>
        <w:t>2</w:t>
      </w:r>
      <w:r w:rsidR="002918F7">
        <w:t xml:space="preserve">. All necessary pleadings in this proceeding shall be served by the Sheriff of the appropriate county as requested without payment of any fees or costs. </w:t>
      </w:r>
    </w:p>
    <w:p w14:paraId="137E271D" w14:textId="77777777" w:rsidR="002918F7" w:rsidRDefault="002918F7" w:rsidP="002918F7">
      <w:pPr>
        <w:ind w:left="720"/>
      </w:pPr>
    </w:p>
    <w:p w14:paraId="69AF3B34" w14:textId="4823D0A9" w:rsidR="002918F7" w:rsidRDefault="00866EB7" w:rsidP="002918F7">
      <w:pPr>
        <w:ind w:left="720"/>
      </w:pPr>
      <w:r>
        <w:t>3</w:t>
      </w:r>
      <w:r w:rsidR="002918F7">
        <w:t xml:space="preserve">. If, following commencement of the action, the applicant no longer meets the eligibility criteria under Minn. Stat. § 563.01, subd. 3(b) or becomes unable to pay a higher amount than previously ordered, the Court may order reimbursement of all or a portion of the fees, costs, and security for costs. </w:t>
      </w:r>
    </w:p>
    <w:p w14:paraId="027F3886" w14:textId="77777777" w:rsidR="002918F7" w:rsidRDefault="002918F7" w:rsidP="002918F7">
      <w:pPr>
        <w:ind w:left="720"/>
      </w:pPr>
    </w:p>
    <w:p w14:paraId="65A81F1B" w14:textId="0E881861" w:rsidR="002918F7" w:rsidRDefault="00866EB7" w:rsidP="002918F7">
      <w:pPr>
        <w:ind w:left="720"/>
      </w:pPr>
      <w:r>
        <w:t>4</w:t>
      </w:r>
      <w:r w:rsidR="002918F7">
        <w:t>.  This Order expires one year from the date of this Order, unless otherwise amended or altered by the Court.  The applicant shall reapply if the applicant seeks to proceed in forma pauperis after the one</w:t>
      </w:r>
      <w:r>
        <w:t>-</w:t>
      </w:r>
      <w:r w:rsidR="002918F7">
        <w:t xml:space="preserve">year period. </w:t>
      </w:r>
    </w:p>
    <w:p w14:paraId="7DBE3203" w14:textId="77777777" w:rsidR="002918F7" w:rsidRDefault="002918F7" w:rsidP="002918F7"/>
    <w:p w14:paraId="0491A0D1" w14:textId="77777777" w:rsidR="002918F7" w:rsidRDefault="002918F7" w:rsidP="002918F7">
      <w:r>
        <w:br w:type="column"/>
      </w:r>
      <w:r>
        <w:lastRenderedPageBreak/>
        <w:t>Recommended by:</w:t>
      </w:r>
      <w:r>
        <w:tab/>
      </w:r>
      <w:r>
        <w:tab/>
      </w:r>
      <w:r>
        <w:tab/>
      </w:r>
      <w:r>
        <w:tab/>
      </w:r>
      <w:r>
        <w:tab/>
        <w:t>BY THE COURT</w:t>
      </w:r>
    </w:p>
    <w:p w14:paraId="61D331FD" w14:textId="77777777" w:rsidR="002918F7" w:rsidRDefault="002918F7" w:rsidP="002918F7"/>
    <w:p w14:paraId="7E319C5C" w14:textId="77777777" w:rsidR="002918F7" w:rsidRDefault="002918F7" w:rsidP="002918F7"/>
    <w:p w14:paraId="50487360" w14:textId="77777777" w:rsidR="002918F7" w:rsidRDefault="002918F7" w:rsidP="002918F7"/>
    <w:p w14:paraId="067F10C1" w14:textId="77777777" w:rsidR="002918F7" w:rsidRDefault="002918F7" w:rsidP="002918F7">
      <w:r>
        <w:t>___________________________________</w:t>
      </w:r>
      <w:r>
        <w:tab/>
      </w:r>
      <w:r>
        <w:tab/>
        <w:t>___________________________________</w:t>
      </w:r>
    </w:p>
    <w:p w14:paraId="53B27EA6" w14:textId="77777777" w:rsidR="002918F7" w:rsidRDefault="002918F7" w:rsidP="002918F7"/>
    <w:p w14:paraId="01B18B89" w14:textId="77777777" w:rsidR="002918F7" w:rsidRDefault="002918F7" w:rsidP="002918F7">
      <w:r>
        <w:t>Referee of the District Court</w:t>
      </w:r>
      <w:r>
        <w:tab/>
      </w:r>
      <w:r>
        <w:tab/>
      </w:r>
      <w:r>
        <w:tab/>
      </w:r>
      <w:r>
        <w:tab/>
        <w:t>Judge of District Court</w:t>
      </w:r>
    </w:p>
    <w:p w14:paraId="1342C975" w14:textId="77777777" w:rsidR="002918F7" w:rsidRDefault="002918F7" w:rsidP="002918F7"/>
    <w:p w14:paraId="04375A50" w14:textId="77777777" w:rsidR="002918F7" w:rsidRDefault="002918F7" w:rsidP="002918F7"/>
    <w:p w14:paraId="5A905A25" w14:textId="77777777" w:rsidR="002918F7" w:rsidRDefault="002918F7" w:rsidP="002918F7">
      <w:proofErr w:type="gramStart"/>
      <w:r>
        <w:t>Dated:_</w:t>
      </w:r>
      <w:proofErr w:type="gramEnd"/>
      <w:r>
        <w:t>_____________________________</w:t>
      </w:r>
      <w:r>
        <w:tab/>
      </w:r>
      <w:r>
        <w:tab/>
        <w:t>Dated:______________________________</w:t>
      </w:r>
    </w:p>
    <w:p w14:paraId="6EDF2849" w14:textId="77777777" w:rsidR="002918F7" w:rsidRDefault="002918F7" w:rsidP="002918F7"/>
    <w:p w14:paraId="0219797A" w14:textId="77777777" w:rsidR="002918F7" w:rsidRDefault="002918F7" w:rsidP="002918F7"/>
    <w:p w14:paraId="2655E1AA" w14:textId="77777777" w:rsidR="002918F7" w:rsidRDefault="002918F7" w:rsidP="002918F7"/>
    <w:p w14:paraId="47BEEDE8" w14:textId="77777777" w:rsidR="002918F7" w:rsidRPr="0074197D" w:rsidRDefault="002918F7" w:rsidP="002918F7"/>
    <w:p w14:paraId="02B9C224" w14:textId="77777777" w:rsidR="002918F7" w:rsidRDefault="002918F7" w:rsidP="002918F7"/>
    <w:p w14:paraId="2B597EED" w14:textId="77777777" w:rsidR="00743014" w:rsidRDefault="00000000"/>
    <w:sectPr w:rsidR="00743014" w:rsidSect="00F04C46">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339E" w14:textId="77777777" w:rsidR="00222C59" w:rsidRDefault="00222C59">
      <w:r>
        <w:separator/>
      </w:r>
    </w:p>
  </w:endnote>
  <w:endnote w:type="continuationSeparator" w:id="0">
    <w:p w14:paraId="4FC009C3" w14:textId="77777777" w:rsidR="00222C59" w:rsidRDefault="0022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0313464"/>
      <w:docPartObj>
        <w:docPartGallery w:val="Page Numbers (Bottom of Page)"/>
        <w:docPartUnique/>
      </w:docPartObj>
    </w:sdtPr>
    <w:sdtContent>
      <w:p w14:paraId="0FB30C04" w14:textId="77777777" w:rsidR="001F7527" w:rsidRDefault="002918F7" w:rsidP="009612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E0B36B" w14:textId="77777777" w:rsidR="001F7527"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3532168"/>
      <w:docPartObj>
        <w:docPartGallery w:val="Page Numbers (Bottom of Page)"/>
        <w:docPartUnique/>
      </w:docPartObj>
    </w:sdtPr>
    <w:sdtContent>
      <w:p w14:paraId="5304CE6F" w14:textId="77777777" w:rsidR="001F7527" w:rsidRDefault="002918F7" w:rsidP="009612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7054A2" w14:textId="77777777" w:rsidR="001F752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9F95B" w14:textId="77777777" w:rsidR="00222C59" w:rsidRDefault="00222C59">
      <w:r>
        <w:separator/>
      </w:r>
    </w:p>
  </w:footnote>
  <w:footnote w:type="continuationSeparator" w:id="0">
    <w:p w14:paraId="512275C8" w14:textId="77777777" w:rsidR="00222C59" w:rsidRDefault="00222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5ECB" w14:textId="77777777" w:rsidR="00763278" w:rsidRPr="00763278" w:rsidRDefault="002918F7" w:rsidP="00763278">
    <w:pPr>
      <w:pStyle w:val="Header"/>
      <w:jc w:val="center"/>
      <w:rPr>
        <w:b/>
      </w:rPr>
    </w:pPr>
    <w:r w:rsidRPr="00763278">
      <w:rPr>
        <w:b/>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F7"/>
    <w:rsid w:val="000C3A95"/>
    <w:rsid w:val="00222C59"/>
    <w:rsid w:val="002918F7"/>
    <w:rsid w:val="006F5B0E"/>
    <w:rsid w:val="00866EB7"/>
    <w:rsid w:val="009D4E29"/>
    <w:rsid w:val="00CE1D5D"/>
    <w:rsid w:val="00F04C46"/>
    <w:rsid w:val="00FA1453"/>
    <w:rsid w:val="00FC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760E"/>
  <w15:chartTrackingRefBased/>
  <w15:docId w15:val="{AA344585-336A-814C-A6EB-0BBEA119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F7"/>
    <w:pPr>
      <w:jc w:val="both"/>
    </w:pPr>
    <w:rPr>
      <w:rFonts w:ascii="Times New Roman" w:hAnsi="Times New Roman"/>
    </w:rPr>
  </w:style>
  <w:style w:type="paragraph" w:styleId="Heading1">
    <w:name w:val="heading 1"/>
    <w:basedOn w:val="Normal"/>
    <w:next w:val="Normal"/>
    <w:link w:val="Heading1Char"/>
    <w:uiPriority w:val="9"/>
    <w:qFormat/>
    <w:rsid w:val="00CE1D5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CE1D5D"/>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D5D"/>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rsid w:val="00CE1D5D"/>
    <w:rPr>
      <w:rFonts w:ascii="Times New Roman" w:eastAsiaTheme="majorEastAsia" w:hAnsi="Times New Roman" w:cstheme="majorBidi"/>
      <w:b/>
      <w:color w:val="000000" w:themeColor="text1"/>
      <w:szCs w:val="26"/>
    </w:rPr>
  </w:style>
  <w:style w:type="paragraph" w:styleId="TOC1">
    <w:name w:val="toc 1"/>
    <w:basedOn w:val="Normal"/>
    <w:next w:val="Normal"/>
    <w:autoRedefine/>
    <w:uiPriority w:val="39"/>
    <w:unhideWhenUsed/>
    <w:rsid w:val="006F5B0E"/>
    <w:pPr>
      <w:spacing w:before="120"/>
    </w:pPr>
    <w:rPr>
      <w:rFonts w:asciiTheme="minorHAnsi" w:hAnsiTheme="minorHAnsi" w:cstheme="minorHAnsi"/>
      <w:b/>
      <w:bCs/>
      <w:iCs/>
    </w:rPr>
  </w:style>
  <w:style w:type="paragraph" w:styleId="TOC2">
    <w:name w:val="toc 2"/>
    <w:basedOn w:val="Normal"/>
    <w:next w:val="Normal"/>
    <w:autoRedefine/>
    <w:uiPriority w:val="39"/>
    <w:unhideWhenUsed/>
    <w:rsid w:val="006F5B0E"/>
    <w:pPr>
      <w:spacing w:before="120"/>
      <w:ind w:left="200"/>
    </w:pPr>
    <w:rPr>
      <w:rFonts w:asciiTheme="minorHAnsi" w:hAnsiTheme="minorHAnsi" w:cstheme="minorHAnsi"/>
      <w:bCs/>
      <w:sz w:val="22"/>
      <w:szCs w:val="22"/>
    </w:rPr>
  </w:style>
  <w:style w:type="paragraph" w:styleId="TOC3">
    <w:name w:val="toc 3"/>
    <w:basedOn w:val="Normal"/>
    <w:next w:val="Normal"/>
    <w:autoRedefine/>
    <w:uiPriority w:val="39"/>
    <w:unhideWhenUsed/>
    <w:rsid w:val="006F5B0E"/>
    <w:pPr>
      <w:ind w:left="400"/>
    </w:pPr>
    <w:rPr>
      <w:rFonts w:asciiTheme="minorHAnsi" w:hAnsiTheme="minorHAnsi" w:cstheme="minorHAnsi"/>
      <w:szCs w:val="20"/>
    </w:rPr>
  </w:style>
  <w:style w:type="table" w:styleId="TableGrid">
    <w:name w:val="Table Grid"/>
    <w:basedOn w:val="TableNormal"/>
    <w:uiPriority w:val="39"/>
    <w:rsid w:val="00291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18F7"/>
    <w:pPr>
      <w:jc w:val="both"/>
    </w:pPr>
    <w:rPr>
      <w:rFonts w:ascii="Times New Roman" w:hAnsi="Times New Roman"/>
    </w:rPr>
  </w:style>
  <w:style w:type="paragraph" w:styleId="Footer">
    <w:name w:val="footer"/>
    <w:basedOn w:val="Normal"/>
    <w:link w:val="FooterChar"/>
    <w:uiPriority w:val="99"/>
    <w:unhideWhenUsed/>
    <w:rsid w:val="002918F7"/>
    <w:pPr>
      <w:tabs>
        <w:tab w:val="center" w:pos="4680"/>
        <w:tab w:val="right" w:pos="9360"/>
      </w:tabs>
    </w:pPr>
  </w:style>
  <w:style w:type="character" w:customStyle="1" w:styleId="FooterChar">
    <w:name w:val="Footer Char"/>
    <w:basedOn w:val="DefaultParagraphFont"/>
    <w:link w:val="Footer"/>
    <w:uiPriority w:val="99"/>
    <w:rsid w:val="002918F7"/>
    <w:rPr>
      <w:rFonts w:ascii="Times New Roman" w:hAnsi="Times New Roman"/>
    </w:rPr>
  </w:style>
  <w:style w:type="character" w:styleId="PageNumber">
    <w:name w:val="page number"/>
    <w:basedOn w:val="DefaultParagraphFont"/>
    <w:uiPriority w:val="99"/>
    <w:semiHidden/>
    <w:unhideWhenUsed/>
    <w:rsid w:val="002918F7"/>
  </w:style>
  <w:style w:type="paragraph" w:styleId="Header">
    <w:name w:val="header"/>
    <w:basedOn w:val="Normal"/>
    <w:link w:val="HeaderChar"/>
    <w:uiPriority w:val="99"/>
    <w:unhideWhenUsed/>
    <w:rsid w:val="002918F7"/>
    <w:pPr>
      <w:tabs>
        <w:tab w:val="center" w:pos="4680"/>
        <w:tab w:val="right" w:pos="9360"/>
      </w:tabs>
    </w:pPr>
  </w:style>
  <w:style w:type="character" w:customStyle="1" w:styleId="HeaderChar">
    <w:name w:val="Header Char"/>
    <w:basedOn w:val="DefaultParagraphFont"/>
    <w:link w:val="Header"/>
    <w:uiPriority w:val="99"/>
    <w:rsid w:val="002918F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Reka Fink</dc:creator>
  <cp:keywords/>
  <dc:description/>
  <cp:lastModifiedBy>Sonja Woodward</cp:lastModifiedBy>
  <cp:revision>2</cp:revision>
  <dcterms:created xsi:type="dcterms:W3CDTF">2024-01-08T15:48:00Z</dcterms:created>
  <dcterms:modified xsi:type="dcterms:W3CDTF">2024-01-08T15:48:00Z</dcterms:modified>
</cp:coreProperties>
</file>