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46"/>
        <w:ind w:left="220" w:firstLine="0"/>
      </w:pPr>
      <w:r>
        <w:rPr/>
        <w:t>STATE OF MINNESOTA</w:t>
      </w:r>
    </w:p>
    <w:p>
      <w:pPr>
        <w:spacing w:line="259" w:lineRule="exact" w:before="46"/>
        <w:ind w:left="0" w:right="219" w:firstLine="0"/>
        <w:jc w:val="right"/>
        <w:rPr>
          <w:b/>
          <w:sz w:val="24"/>
        </w:rPr>
      </w:pPr>
      <w:r>
        <w:rPr/>
        <w:br w:type="column"/>
      </w:r>
      <w:r>
        <w:rPr>
          <w:b/>
          <w:sz w:val="24"/>
        </w:rPr>
        <w:t>DISTRICT</w:t>
      </w:r>
      <w:r>
        <w:rPr>
          <w:b/>
          <w:spacing w:val="-1"/>
          <w:sz w:val="24"/>
        </w:rPr>
        <w:t> </w:t>
      </w:r>
      <w:r>
        <w:rPr>
          <w:b/>
          <w:sz w:val="24"/>
        </w:rPr>
        <w:t>COURT</w:t>
      </w:r>
    </w:p>
    <w:p>
      <w:pPr>
        <w:tabs>
          <w:tab w:pos="1854" w:val="left" w:leader="none"/>
        </w:tabs>
        <w:spacing w:line="259" w:lineRule="exact" w:before="0"/>
        <w:ind w:left="0" w:right="218" w:firstLine="0"/>
        <w:jc w:val="right"/>
        <w:rPr>
          <w:b/>
          <w:sz w:val="24"/>
        </w:rPr>
      </w:pPr>
      <w:r>
        <w:rPr>
          <w:b/>
          <w:sz w:val="24"/>
          <w:u w:val="single"/>
        </w:rPr>
        <w:t> </w:t>
        <w:tab/>
      </w:r>
      <w:r>
        <w:rPr>
          <w:b/>
          <w:sz w:val="24"/>
        </w:rPr>
        <w:t>JUDICIAL</w:t>
      </w:r>
      <w:r>
        <w:rPr>
          <w:b/>
          <w:spacing w:val="-1"/>
          <w:sz w:val="24"/>
        </w:rPr>
        <w:t> </w:t>
      </w:r>
      <w:r>
        <w:rPr>
          <w:b/>
          <w:sz w:val="24"/>
        </w:rPr>
        <w:t>DISTRICT</w:t>
      </w:r>
    </w:p>
    <w:p>
      <w:pPr>
        <w:spacing w:after="0" w:line="259" w:lineRule="exact"/>
        <w:jc w:val="right"/>
        <w:rPr>
          <w:sz w:val="24"/>
        </w:rPr>
        <w:sectPr>
          <w:footerReference w:type="default" r:id="rId5"/>
          <w:type w:val="continuous"/>
          <w:pgSz w:w="12240" w:h="15840"/>
          <w:pgMar w:footer="1121" w:top="1160" w:bottom="1320" w:left="1340" w:right="1340"/>
          <w:pgNumType w:start="1"/>
          <w:cols w:num="2" w:equalWidth="0">
            <w:col w:w="2981" w:space="1898"/>
            <w:col w:w="4681"/>
          </w:cols>
        </w:sectPr>
      </w:pPr>
    </w:p>
    <w:p>
      <w:pPr>
        <w:tabs>
          <w:tab w:pos="4305" w:val="left" w:leader="none"/>
          <w:tab w:pos="4919" w:val="left" w:leader="none"/>
          <w:tab w:pos="6414" w:val="left" w:leader="none"/>
          <w:tab w:pos="9174" w:val="left" w:leader="none"/>
        </w:tabs>
        <w:spacing w:line="228" w:lineRule="exact" w:before="0"/>
        <w:ind w:left="0" w:right="164" w:firstLine="0"/>
        <w:jc w:val="right"/>
        <w:rPr>
          <w:b/>
          <w:sz w:val="24"/>
        </w:rPr>
      </w:pPr>
      <w:r>
        <w:rPr>
          <w:b/>
          <w:sz w:val="24"/>
        </w:rPr>
        <w:t>COUNTY</w:t>
      </w:r>
      <w:r>
        <w:rPr>
          <w:b/>
          <w:spacing w:val="-1"/>
          <w:sz w:val="24"/>
        </w:rPr>
        <w:t> </w:t>
      </w:r>
      <w:r>
        <w:rPr>
          <w:b/>
          <w:sz w:val="24"/>
        </w:rPr>
        <w:t>OF</w:t>
      </w:r>
      <w:r>
        <w:rPr>
          <w:b/>
          <w:sz w:val="24"/>
          <w:u w:val="single"/>
        </w:rPr>
        <w:t> </w:t>
        <w:tab/>
      </w:r>
      <w:r>
        <w:rPr>
          <w:b/>
          <w:sz w:val="24"/>
        </w:rPr>
        <w:tab/>
      </w:r>
      <w:r>
        <w:rPr>
          <w:b/>
          <w:sz w:val="24"/>
          <w:u w:val="single"/>
        </w:rPr>
        <w:t> </w:t>
        <w:tab/>
      </w:r>
      <w:r>
        <w:rPr>
          <w:b/>
          <w:sz w:val="24"/>
        </w:rPr>
        <w:t>DIVISION: </w:t>
      </w:r>
      <w:r>
        <w:rPr>
          <w:b/>
          <w:sz w:val="24"/>
          <w:u w:val="single"/>
        </w:rPr>
        <w:t> </w:t>
        <w:tab/>
      </w:r>
    </w:p>
    <w:p>
      <w:pPr>
        <w:spacing w:line="244" w:lineRule="exact" w:before="0"/>
        <w:ind w:left="0" w:right="218" w:firstLine="0"/>
        <w:jc w:val="right"/>
        <w:rPr>
          <w:b/>
          <w:sz w:val="24"/>
        </w:rPr>
      </w:pPr>
      <w:r>
        <w:rPr>
          <w:b/>
          <w:sz w:val="24"/>
        </w:rPr>
        <w:t>CASE TYPE: UNLAWFUL</w:t>
      </w:r>
      <w:r>
        <w:rPr>
          <w:b/>
          <w:spacing w:val="-7"/>
          <w:sz w:val="24"/>
        </w:rPr>
        <w:t> </w:t>
      </w:r>
      <w:r>
        <w:rPr>
          <w:b/>
          <w:sz w:val="24"/>
        </w:rPr>
        <w:t>DETAINER</w:t>
      </w:r>
    </w:p>
    <w:p>
      <w:pPr>
        <w:spacing w:line="260" w:lineRule="exact" w:before="0"/>
        <w:ind w:left="0" w:right="219" w:firstLine="0"/>
        <w:jc w:val="right"/>
        <w:rPr>
          <w:b/>
          <w:sz w:val="24"/>
        </w:rPr>
      </w:pPr>
      <w:r>
        <w:rPr>
          <w:b/>
          <w:spacing w:val="-1"/>
          <w:sz w:val="24"/>
        </w:rPr>
        <w:t>(EVICTION)</w:t>
      </w:r>
    </w:p>
    <w:p>
      <w:pPr>
        <w:pStyle w:val="BodyText"/>
        <w:spacing w:before="10"/>
        <w:rPr>
          <w:b/>
          <w:sz w:val="22"/>
        </w:rPr>
      </w:pPr>
      <w:r>
        <w:rPr/>
        <w:pict>
          <v:group style="position:absolute;margin-left:72pt;margin-top:15.164307pt;width:467.9pt;height:.85pt;mso-position-horizontal-relative:page;mso-position-vertical-relative:paragraph;z-index:-251658240;mso-wrap-distance-left:0;mso-wrap-distance-right:0" coordorigin="1440,303" coordsize="9358,17">
            <v:line style="position:absolute" from="1440,312" to="6118,312" stroked="true" strokeweight=".84pt" strokecolor="#000000">
              <v:stroke dashstyle="solid"/>
            </v:line>
            <v:line style="position:absolute" from="6120,312" to="10798,312" stroked="true" strokeweight=".84pt" strokecolor="#000000">
              <v:stroke dashstyle="solid"/>
            </v:line>
            <w10:wrap type="topAndBottom"/>
          </v:group>
        </w:pict>
      </w:r>
    </w:p>
    <w:p>
      <w:pPr>
        <w:pStyle w:val="BodyText"/>
        <w:rPr>
          <w:b/>
          <w:sz w:val="20"/>
        </w:rPr>
      </w:pPr>
    </w:p>
    <w:p>
      <w:pPr>
        <w:pStyle w:val="BodyText"/>
        <w:spacing w:before="4"/>
        <w:rPr>
          <w:b/>
          <w:sz w:val="27"/>
        </w:rPr>
      </w:pPr>
      <w:r>
        <w:rPr/>
        <w:pict>
          <v:shape style="position:absolute;margin-left:78pt;margin-top:17.927002pt;width:198pt;height:.1pt;mso-position-horizontal-relative:page;mso-position-vertical-relative:paragraph;z-index:-251657216;mso-wrap-distance-left:0;mso-wrap-distance-right:0" coordorigin="1560,359" coordsize="3960,0" path="m1560,359l5520,359e" filled="false" stroked="true" strokeweight=".492pt" strokecolor="#000000">
            <v:path arrowok="t"/>
            <v:stroke dashstyle="solid"/>
            <w10:wrap type="topAndBottom"/>
          </v:shape>
        </w:pict>
      </w:r>
    </w:p>
    <w:p>
      <w:pPr>
        <w:pStyle w:val="BodyText"/>
        <w:spacing w:before="2"/>
        <w:rPr>
          <w:b/>
          <w:sz w:val="11"/>
        </w:rPr>
      </w:pPr>
    </w:p>
    <w:p>
      <w:pPr>
        <w:spacing w:after="0"/>
        <w:rPr>
          <w:sz w:val="11"/>
        </w:rPr>
        <w:sectPr>
          <w:type w:val="continuous"/>
          <w:pgSz w:w="12240" w:h="15840"/>
          <w:pgMar w:top="1160" w:bottom="1320" w:left="1340" w:right="1340"/>
        </w:sectPr>
      </w:pPr>
    </w:p>
    <w:p>
      <w:pPr>
        <w:tabs>
          <w:tab w:pos="4179" w:val="left" w:leader="none"/>
        </w:tabs>
        <w:spacing w:line="259" w:lineRule="exact" w:before="58"/>
        <w:ind w:left="220" w:right="0" w:firstLine="0"/>
        <w:jc w:val="left"/>
        <w:rPr>
          <w:b/>
          <w:sz w:val="24"/>
        </w:rPr>
      </w:pPr>
      <w:r>
        <w:rPr>
          <w:b/>
          <w:sz w:val="24"/>
          <w:u w:val="single"/>
        </w:rPr>
        <w:t> </w:t>
        <w:tab/>
      </w:r>
      <w:r>
        <w:rPr>
          <w:b/>
          <w:sz w:val="24"/>
        </w:rPr>
        <w:t>,</w:t>
      </w:r>
    </w:p>
    <w:p>
      <w:pPr>
        <w:pStyle w:val="BodyText"/>
        <w:spacing w:line="259" w:lineRule="exact"/>
        <w:ind w:left="1660"/>
      </w:pPr>
      <w:r>
        <w:rPr/>
        <w:t>Plaintiff (Landlord),</w:t>
      </w:r>
    </w:p>
    <w:p>
      <w:pPr>
        <w:pStyle w:val="BodyText"/>
        <w:spacing w:before="9"/>
        <w:rPr>
          <w:sz w:val="18"/>
        </w:rPr>
      </w:pPr>
    </w:p>
    <w:p>
      <w:pPr>
        <w:pStyle w:val="Heading1"/>
        <w:ind w:left="220" w:firstLine="0"/>
      </w:pPr>
      <w:r>
        <w:rPr/>
        <w:t>v.</w:t>
      </w:r>
    </w:p>
    <w:p>
      <w:pPr>
        <w:pStyle w:val="BodyText"/>
        <w:rPr>
          <w:b/>
          <w:sz w:val="20"/>
        </w:rPr>
      </w:pPr>
    </w:p>
    <w:p>
      <w:pPr>
        <w:pStyle w:val="BodyText"/>
        <w:spacing w:before="8"/>
        <w:rPr>
          <w:b/>
          <w:sz w:val="17"/>
        </w:rPr>
      </w:pPr>
      <w:r>
        <w:rPr/>
        <w:pict>
          <v:shape style="position:absolute;margin-left:78pt;margin-top:12.399744pt;width:198pt;height:.1pt;mso-position-horizontal-relative:page;mso-position-vertical-relative:paragraph;z-index:-251656192;mso-wrap-distance-left:0;mso-wrap-distance-right:0" coordorigin="1560,248" coordsize="3960,0" path="m1560,248l5520,248e" filled="false" stroked="true" strokeweight=".492pt" strokecolor="#000000">
            <v:path arrowok="t"/>
            <v:stroke dashstyle="solid"/>
            <w10:wrap type="topAndBottom"/>
          </v:shape>
        </w:pict>
      </w:r>
    </w:p>
    <w:p>
      <w:pPr>
        <w:pStyle w:val="BodyText"/>
        <w:tabs>
          <w:tab w:pos="4179" w:val="left" w:leader="none"/>
        </w:tabs>
        <w:spacing w:line="260" w:lineRule="exact" w:before="182"/>
        <w:ind w:left="220"/>
      </w:pPr>
      <w:r>
        <w:rPr>
          <w:u w:val="single"/>
        </w:rPr>
        <w:t> </w:t>
        <w:tab/>
      </w:r>
      <w:r>
        <w:rPr/>
        <w:t>,</w:t>
      </w:r>
    </w:p>
    <w:p>
      <w:pPr>
        <w:pStyle w:val="BodyText"/>
        <w:spacing w:line="260" w:lineRule="exact"/>
        <w:ind w:left="1660"/>
      </w:pPr>
      <w:r>
        <w:rPr/>
        <w:t>Defendant (Tenant).</w:t>
      </w:r>
    </w:p>
    <w:p>
      <w:pPr>
        <w:pStyle w:val="Heading1"/>
        <w:spacing w:line="211" w:lineRule="auto" w:before="85"/>
        <w:ind w:left="1928" w:right="217" w:hanging="12"/>
        <w:jc w:val="right"/>
      </w:pPr>
      <w:r>
        <w:rPr>
          <w:b w:val="0"/>
        </w:rPr>
        <w:br w:type="column"/>
      </w:r>
      <w:r>
        <w:rPr/>
        <w:t>ANSWER AND </w:t>
      </w:r>
      <w:r>
        <w:rPr>
          <w:spacing w:val="-3"/>
        </w:rPr>
        <w:t>MOTION</w:t>
      </w:r>
      <w:r>
        <w:rPr/>
        <w:t> FOR</w:t>
      </w:r>
      <w:r>
        <w:rPr>
          <w:spacing w:val="-3"/>
        </w:rPr>
        <w:t> </w:t>
      </w:r>
      <w:r>
        <w:rPr/>
        <w:t>DISMISSAL</w:t>
      </w:r>
      <w:r>
        <w:rPr>
          <w:spacing w:val="-2"/>
        </w:rPr>
        <w:t> </w:t>
      </w:r>
      <w:r>
        <w:rPr/>
        <w:t>OR SUMMARY</w:t>
      </w:r>
      <w:r>
        <w:rPr>
          <w:spacing w:val="9"/>
        </w:rPr>
        <w:t> </w:t>
      </w:r>
      <w:r>
        <w:rPr>
          <w:spacing w:val="-4"/>
        </w:rPr>
        <w:t>JUDGMENT</w:t>
      </w:r>
    </w:p>
    <w:p>
      <w:pPr>
        <w:pStyle w:val="BodyText"/>
        <w:spacing w:before="11"/>
        <w:rPr>
          <w:b/>
          <w:sz w:val="20"/>
        </w:rPr>
      </w:pPr>
    </w:p>
    <w:p>
      <w:pPr>
        <w:pStyle w:val="BodyText"/>
        <w:spacing w:line="211" w:lineRule="auto"/>
        <w:ind w:left="220" w:right="202" w:firstLine="388"/>
      </w:pPr>
      <w:r>
        <w:rPr/>
        <w:t>Pov. Law Form No. A-1v1 (August</w:t>
      </w:r>
      <w:r>
        <w:rPr>
          <w:spacing w:val="-14"/>
        </w:rPr>
        <w:t> </w:t>
      </w:r>
      <w:r>
        <w:rPr/>
        <w:t>2020) Private Tenancy under Executive Order</w:t>
      </w:r>
      <w:r>
        <w:rPr>
          <w:spacing w:val="-8"/>
        </w:rPr>
        <w:t> </w:t>
      </w:r>
      <w:r>
        <w:rPr>
          <w:spacing w:val="-4"/>
        </w:rPr>
        <w:t>20-79</w:t>
      </w:r>
    </w:p>
    <w:p>
      <w:pPr>
        <w:pStyle w:val="BodyText"/>
        <w:spacing w:before="10"/>
        <w:rPr>
          <w:sz w:val="18"/>
        </w:rPr>
      </w:pPr>
    </w:p>
    <w:p>
      <w:pPr>
        <w:pStyle w:val="BodyText"/>
        <w:tabs>
          <w:tab w:pos="4692" w:val="left" w:leader="none"/>
        </w:tabs>
        <w:ind w:left="697"/>
      </w:pPr>
      <w:r>
        <w:rPr/>
        <w:t>Case No. </w:t>
      </w:r>
      <w:r>
        <w:rPr>
          <w:u w:val="single"/>
        </w:rPr>
        <w:t> </w:t>
        <w:tab/>
      </w:r>
    </w:p>
    <w:p>
      <w:pPr>
        <w:spacing w:after="0"/>
        <w:sectPr>
          <w:type w:val="continuous"/>
          <w:pgSz w:w="12240" w:h="15840"/>
          <w:pgMar w:top="1160" w:bottom="1320" w:left="1340" w:right="1340"/>
          <w:cols w:num="2" w:equalWidth="0">
            <w:col w:w="4281" w:space="423"/>
            <w:col w:w="4856"/>
          </w:cols>
        </w:sectPr>
      </w:pPr>
    </w:p>
    <w:p>
      <w:pPr>
        <w:pStyle w:val="BodyText"/>
        <w:spacing w:before="1"/>
        <w:rPr>
          <w:sz w:val="25"/>
        </w:rPr>
      </w:pPr>
    </w:p>
    <w:p>
      <w:pPr>
        <w:pStyle w:val="BodyText"/>
        <w:spacing w:line="20" w:lineRule="exact"/>
        <w:ind w:left="91"/>
        <w:rPr>
          <w:sz w:val="2"/>
        </w:rPr>
      </w:pPr>
      <w:r>
        <w:rPr>
          <w:sz w:val="2"/>
        </w:rPr>
        <w:pict>
          <v:group style="width:467.9pt;height:.85pt;mso-position-horizontal-relative:char;mso-position-vertical-relative:line" coordorigin="0,0" coordsize="9358,17">
            <v:line style="position:absolute" from="0,8" to="4678,8" stroked="true" strokeweight=".84pt" strokecolor="#000000">
              <v:stroke dashstyle="solid"/>
            </v:line>
            <v:line style="position:absolute" from="4680,8" to="9358,8" stroked="true" strokeweight=".84pt" strokecolor="#000000">
              <v:stroke dashstyle="solid"/>
            </v:line>
          </v:group>
        </w:pict>
      </w:r>
      <w:r>
        <w:rPr>
          <w:sz w:val="2"/>
        </w:rPr>
      </w:r>
    </w:p>
    <w:p>
      <w:pPr>
        <w:pStyle w:val="BodyText"/>
        <w:rPr>
          <w:sz w:val="16"/>
        </w:rPr>
      </w:pPr>
    </w:p>
    <w:p>
      <w:pPr>
        <w:pStyle w:val="BodyText"/>
        <w:spacing w:line="211" w:lineRule="auto" w:before="86"/>
        <w:ind w:left="100" w:right="183"/>
      </w:pPr>
      <w:r>
        <w:rPr/>
        <w:t>For my answer to Plaintiff's complaint, I state the following defenses and the reasons why I should not be evicted, and ask that the case be dismissed.</w:t>
      </w:r>
    </w:p>
    <w:p>
      <w:pPr>
        <w:pStyle w:val="BodyText"/>
        <w:spacing w:before="3"/>
        <w:rPr>
          <w:sz w:val="19"/>
        </w:rPr>
      </w:pPr>
    </w:p>
    <w:p>
      <w:pPr>
        <w:pStyle w:val="Heading1"/>
        <w:tabs>
          <w:tab w:pos="819" w:val="left" w:leader="none"/>
        </w:tabs>
        <w:spacing w:before="1"/>
        <w:ind w:left="100" w:firstLine="0"/>
      </w:pPr>
      <w:r>
        <w:rPr/>
        <w:t>A0.</w:t>
        <w:tab/>
        <w:t>THRESHOLD DEFENSES</w:t>
      </w:r>
    </w:p>
    <w:p>
      <w:pPr>
        <w:pStyle w:val="BodyText"/>
        <w:spacing w:before="2"/>
        <w:rPr>
          <w:b/>
          <w:sz w:val="20"/>
        </w:rPr>
      </w:pPr>
    </w:p>
    <w:p>
      <w:pPr>
        <w:pStyle w:val="ListParagraph"/>
        <w:numPr>
          <w:ilvl w:val="0"/>
          <w:numId w:val="1"/>
        </w:numPr>
        <w:tabs>
          <w:tab w:pos="1208" w:val="left" w:leader="none"/>
          <w:tab w:pos="1209" w:val="left" w:leader="none"/>
        </w:tabs>
        <w:spacing w:line="211" w:lineRule="auto" w:before="0" w:after="0"/>
        <w:ind w:left="1540" w:right="131" w:hanging="720"/>
        <w:jc w:val="left"/>
        <w:rPr>
          <w:sz w:val="24"/>
        </w:rPr>
      </w:pPr>
      <w:r>
        <w:rPr>
          <w:rFonts w:ascii="Arial" w:hAnsi="Arial"/>
          <w:sz w:val="24"/>
        </w:rPr>
        <w:t>G </w:t>
      </w:r>
      <w:r>
        <w:rPr>
          <w:sz w:val="24"/>
        </w:rPr>
        <w:t>Under Executive Order 20-79, effective </w:t>
      </w:r>
      <w:r>
        <w:rPr>
          <w:spacing w:val="-3"/>
          <w:sz w:val="24"/>
        </w:rPr>
        <w:t>August </w:t>
      </w:r>
      <w:r>
        <w:rPr>
          <w:sz w:val="24"/>
        </w:rPr>
        <w:t>4, 2020, evictions are prohibited except where (1) the tenant violates Minn. Stat. § 504B.171, subdivision 1, (2) </w:t>
      </w:r>
      <w:r>
        <w:rPr>
          <w:spacing w:val="-6"/>
          <w:sz w:val="24"/>
        </w:rPr>
        <w:t>the </w:t>
      </w:r>
      <w:r>
        <w:rPr>
          <w:sz w:val="24"/>
        </w:rPr>
        <w:t>tenant seriously endangers the safety of other residents, (3) the tenant materially violates a residential lease by the following actions on the premises, including the common area and the curtilage of the premises: seriously endangers the safety of others, (4) the tenant materially violation of a residential lease by the following actions on the premises, including the common area and the curtilage of the premises: significantly damages property, or (5) the tenant holds over after residential landlord termination of lease or nonrenewal of lease due to the need to move the property owner or property owner’s family member(s) into the property and where the property owner or property owner’s family member(s) move into the property within 7 days after it is vacated by the</w:t>
      </w:r>
      <w:r>
        <w:rPr>
          <w:spacing w:val="-25"/>
          <w:sz w:val="24"/>
        </w:rPr>
        <w:t> </w:t>
      </w:r>
      <w:r>
        <w:rPr>
          <w:sz w:val="24"/>
        </w:rPr>
        <w:t>tenant.</w:t>
      </w:r>
    </w:p>
    <w:p>
      <w:pPr>
        <w:pStyle w:val="BodyText"/>
        <w:spacing w:before="11"/>
        <w:rPr>
          <w:sz w:val="21"/>
        </w:rPr>
      </w:pPr>
    </w:p>
    <w:p>
      <w:pPr>
        <w:pStyle w:val="ListParagraph"/>
        <w:numPr>
          <w:ilvl w:val="0"/>
          <w:numId w:val="1"/>
        </w:numPr>
        <w:tabs>
          <w:tab w:pos="1208" w:val="left" w:leader="none"/>
          <w:tab w:pos="1209" w:val="left" w:leader="none"/>
        </w:tabs>
        <w:spacing w:line="211" w:lineRule="auto" w:before="0" w:after="0"/>
        <w:ind w:left="1540" w:right="396" w:hanging="720"/>
        <w:jc w:val="left"/>
        <w:rPr>
          <w:sz w:val="24"/>
        </w:rPr>
      </w:pPr>
      <w:r>
        <w:rPr>
          <w:rFonts w:ascii="Arial"/>
          <w:sz w:val="24"/>
        </w:rPr>
        <w:t>G </w:t>
      </w:r>
      <w:r>
        <w:rPr>
          <w:sz w:val="24"/>
        </w:rPr>
        <w:t>Plaintiff failed to state the facts which authorize recovery of the premises </w:t>
      </w:r>
      <w:r>
        <w:rPr>
          <w:spacing w:val="-3"/>
          <w:sz w:val="24"/>
        </w:rPr>
        <w:t>under </w:t>
      </w:r>
      <w:r>
        <w:rPr>
          <w:sz w:val="24"/>
        </w:rPr>
        <w:t>the exceptions, by failing to</w:t>
      </w:r>
      <w:r>
        <w:rPr>
          <w:spacing w:val="-11"/>
          <w:sz w:val="24"/>
        </w:rPr>
        <w:t> </w:t>
      </w:r>
      <w:r>
        <w:rPr>
          <w:sz w:val="24"/>
        </w:rPr>
        <w:t>state:</w:t>
      </w:r>
    </w:p>
    <w:p>
      <w:pPr>
        <w:pStyle w:val="BodyText"/>
        <w:tabs>
          <w:tab w:pos="9099" w:val="left" w:leader="none"/>
        </w:tabs>
        <w:spacing w:line="233" w:lineRule="exact"/>
        <w:ind w:left="1540"/>
      </w:pPr>
      <w:r>
        <w:rPr>
          <w:u w:val="single"/>
        </w:rPr>
        <w:t> </w:t>
        <w:tab/>
      </w:r>
      <w:r>
        <w:rPr/>
        <w:t>.</w:t>
      </w:r>
    </w:p>
    <w:p>
      <w:pPr>
        <w:pStyle w:val="ListParagraph"/>
        <w:numPr>
          <w:ilvl w:val="1"/>
          <w:numId w:val="1"/>
        </w:numPr>
        <w:tabs>
          <w:tab w:pos="2259" w:val="left" w:leader="none"/>
          <w:tab w:pos="2260" w:val="left" w:leader="none"/>
          <w:tab w:pos="2979" w:val="left" w:leader="none"/>
        </w:tabs>
        <w:spacing w:line="244" w:lineRule="exact" w:before="0" w:after="0"/>
        <w:ind w:left="2260" w:right="0" w:hanging="720"/>
        <w:jc w:val="left"/>
        <w:rPr>
          <w:sz w:val="24"/>
        </w:rPr>
      </w:pPr>
      <w:r>
        <w:rPr>
          <w:rFonts w:ascii="Arial" w:hAnsi="Arial"/>
          <w:sz w:val="24"/>
        </w:rPr>
        <w:t>G</w:t>
        <w:tab/>
      </w:r>
      <w:r>
        <w:rPr>
          <w:sz w:val="24"/>
        </w:rPr>
        <w:t>Minn. Stat. § 504B.321 (formerly</w:t>
      </w:r>
      <w:r>
        <w:rPr>
          <w:spacing w:val="-11"/>
          <w:sz w:val="24"/>
        </w:rPr>
        <w:t> </w:t>
      </w:r>
      <w:r>
        <w:rPr>
          <w:sz w:val="24"/>
        </w:rPr>
        <w:t>566.05)</w:t>
      </w:r>
    </w:p>
    <w:p>
      <w:pPr>
        <w:pStyle w:val="ListParagraph"/>
        <w:numPr>
          <w:ilvl w:val="1"/>
          <w:numId w:val="1"/>
        </w:numPr>
        <w:tabs>
          <w:tab w:pos="2259" w:val="left" w:leader="none"/>
          <w:tab w:pos="2260" w:val="left" w:leader="none"/>
          <w:tab w:pos="2979" w:val="left" w:leader="none"/>
        </w:tabs>
        <w:spacing w:line="211" w:lineRule="auto" w:before="11" w:after="0"/>
        <w:ind w:left="2980" w:right="731" w:hanging="1440"/>
        <w:jc w:val="left"/>
        <w:rPr>
          <w:sz w:val="24"/>
        </w:rPr>
      </w:pPr>
      <w:r>
        <w:rPr>
          <w:rFonts w:ascii="Arial"/>
          <w:sz w:val="24"/>
        </w:rPr>
        <w:t>G</w:t>
        <w:tab/>
      </w:r>
      <w:r>
        <w:rPr>
          <w:sz w:val="24"/>
        </w:rPr>
        <w:t>Hennepin and Ramsey Housing Courts: Minn. Gen. R. </w:t>
      </w:r>
      <w:r>
        <w:rPr>
          <w:spacing w:val="-4"/>
          <w:sz w:val="24"/>
        </w:rPr>
        <w:t>Prac. </w:t>
      </w:r>
      <w:r>
        <w:rPr>
          <w:sz w:val="24"/>
        </w:rPr>
        <w:t>604(a).</w:t>
      </w:r>
    </w:p>
    <w:p>
      <w:pPr>
        <w:pStyle w:val="BodyText"/>
        <w:spacing w:before="10"/>
        <w:rPr>
          <w:sz w:val="20"/>
        </w:rPr>
      </w:pPr>
    </w:p>
    <w:p>
      <w:pPr>
        <w:pStyle w:val="ListParagraph"/>
        <w:numPr>
          <w:ilvl w:val="0"/>
          <w:numId w:val="1"/>
        </w:numPr>
        <w:tabs>
          <w:tab w:pos="1208" w:val="left" w:leader="none"/>
          <w:tab w:pos="1209" w:val="left" w:leader="none"/>
        </w:tabs>
        <w:spacing w:line="213" w:lineRule="auto" w:before="0" w:after="0"/>
        <w:ind w:left="1540" w:right="727" w:hanging="720"/>
        <w:jc w:val="left"/>
        <w:rPr>
          <w:sz w:val="24"/>
        </w:rPr>
      </w:pPr>
      <w:r>
        <w:rPr>
          <w:rFonts w:ascii="Arial"/>
          <w:sz w:val="24"/>
        </w:rPr>
        <w:t>G </w:t>
      </w:r>
      <w:r>
        <w:rPr>
          <w:sz w:val="24"/>
        </w:rPr>
        <w:t>Plaintiff commenced this action before August 4, 2020, the effective date </w:t>
      </w:r>
      <w:r>
        <w:rPr>
          <w:spacing w:val="-8"/>
          <w:sz w:val="24"/>
        </w:rPr>
        <w:t>of </w:t>
      </w:r>
      <w:r>
        <w:rPr>
          <w:sz w:val="24"/>
        </w:rPr>
        <w:t>Executive Order 20-79.</w:t>
      </w:r>
    </w:p>
    <w:p>
      <w:pPr>
        <w:pStyle w:val="BodyText"/>
        <w:spacing w:before="1"/>
        <w:rPr>
          <w:sz w:val="21"/>
        </w:rPr>
      </w:pPr>
    </w:p>
    <w:p>
      <w:pPr>
        <w:pStyle w:val="ListParagraph"/>
        <w:numPr>
          <w:ilvl w:val="0"/>
          <w:numId w:val="1"/>
        </w:numPr>
        <w:tabs>
          <w:tab w:pos="1208" w:val="left" w:leader="none"/>
          <w:tab w:pos="1209" w:val="left" w:leader="none"/>
        </w:tabs>
        <w:spacing w:line="211" w:lineRule="auto" w:before="0" w:after="0"/>
        <w:ind w:left="1540" w:right="427" w:hanging="720"/>
        <w:jc w:val="left"/>
        <w:rPr>
          <w:sz w:val="24"/>
        </w:rPr>
      </w:pPr>
      <w:r>
        <w:rPr>
          <w:rFonts w:ascii="Arial"/>
          <w:sz w:val="24"/>
        </w:rPr>
        <w:t>G </w:t>
      </w:r>
      <w:r>
        <w:rPr>
          <w:sz w:val="24"/>
        </w:rPr>
        <w:t>The property owner, mortgage holder, or other persons seeking possession on grounds permitted by this Executive Order </w:t>
      </w:r>
      <w:r>
        <w:rPr>
          <w:i/>
          <w:sz w:val="24"/>
        </w:rPr>
        <w:t>did not </w:t>
      </w:r>
      <w:r>
        <w:rPr>
          <w:sz w:val="24"/>
        </w:rPr>
        <w:t>provide a written notice of intent to file an eviction action to the tenant at least 7 </w:t>
      </w:r>
      <w:r>
        <w:rPr>
          <w:spacing w:val="-4"/>
          <w:sz w:val="24"/>
        </w:rPr>
        <w:t>days </w:t>
      </w:r>
      <w:r>
        <w:rPr>
          <w:sz w:val="24"/>
        </w:rPr>
        <w:t>prior to filing the action, or the specified notice period included in the lease, whichever is</w:t>
      </w:r>
      <w:r>
        <w:rPr>
          <w:spacing w:val="10"/>
          <w:sz w:val="24"/>
        </w:rPr>
        <w:t> </w:t>
      </w:r>
      <w:r>
        <w:rPr>
          <w:spacing w:val="-6"/>
          <w:sz w:val="24"/>
        </w:rPr>
        <w:t>longer.</w:t>
      </w:r>
    </w:p>
    <w:p>
      <w:pPr>
        <w:spacing w:after="0" w:line="211" w:lineRule="auto"/>
        <w:jc w:val="left"/>
        <w:rPr>
          <w:sz w:val="24"/>
        </w:rPr>
        <w:sectPr>
          <w:type w:val="continuous"/>
          <w:pgSz w:w="12240" w:h="15840"/>
          <w:pgMar w:top="1160" w:bottom="1320" w:left="1340" w:right="1340"/>
        </w:sectPr>
      </w:pPr>
    </w:p>
    <w:p>
      <w:pPr>
        <w:pStyle w:val="BodyText"/>
        <w:tabs>
          <w:tab w:pos="1208" w:val="left" w:leader="none"/>
        </w:tabs>
        <w:spacing w:before="43"/>
        <w:ind w:left="820"/>
      </w:pPr>
      <w:r>
        <w:rPr/>
        <w:t>5</w:t>
        <w:tab/>
      </w:r>
      <w:r>
        <w:rPr>
          <w:rFonts w:ascii="Arial" w:hAnsi="Arial"/>
        </w:rPr>
        <w:t>G </w:t>
      </w:r>
      <w:r>
        <w:rPr/>
        <w:t>Plaintiff claimed I violated Minn. Stat. § 504B.171, subdivision 1, but I did</w:t>
      </w:r>
      <w:r>
        <w:rPr>
          <w:spacing w:val="-3"/>
        </w:rPr>
        <w:t> </w:t>
      </w:r>
      <w:r>
        <w:rPr/>
        <w:t>not.</w:t>
      </w:r>
    </w:p>
    <w:p>
      <w:pPr>
        <w:pStyle w:val="ListParagraph"/>
        <w:numPr>
          <w:ilvl w:val="0"/>
          <w:numId w:val="2"/>
        </w:numPr>
        <w:tabs>
          <w:tab w:pos="1208" w:val="left" w:leader="none"/>
          <w:tab w:pos="1209" w:val="left" w:leader="none"/>
        </w:tabs>
        <w:spacing w:line="240" w:lineRule="auto" w:before="210" w:after="0"/>
        <w:ind w:left="1208" w:right="0" w:hanging="389"/>
        <w:jc w:val="left"/>
        <w:rPr>
          <w:sz w:val="24"/>
        </w:rPr>
      </w:pPr>
      <w:r>
        <w:rPr>
          <w:rFonts w:ascii="Arial"/>
          <w:sz w:val="24"/>
        </w:rPr>
        <w:t>G </w:t>
      </w:r>
      <w:r>
        <w:rPr>
          <w:sz w:val="24"/>
        </w:rPr>
        <w:t>Plaintiff claimed I seriously endangers the safety of other residents, but I did</w:t>
      </w:r>
      <w:r>
        <w:rPr>
          <w:spacing w:val="-31"/>
          <w:sz w:val="24"/>
        </w:rPr>
        <w:t> </w:t>
      </w:r>
      <w:r>
        <w:rPr>
          <w:sz w:val="24"/>
        </w:rPr>
        <w:t>not.</w:t>
      </w:r>
    </w:p>
    <w:p>
      <w:pPr>
        <w:pStyle w:val="BodyText"/>
        <w:spacing w:before="7"/>
        <w:rPr>
          <w:sz w:val="20"/>
        </w:rPr>
      </w:pPr>
    </w:p>
    <w:p>
      <w:pPr>
        <w:pStyle w:val="ListParagraph"/>
        <w:numPr>
          <w:ilvl w:val="0"/>
          <w:numId w:val="2"/>
        </w:numPr>
        <w:tabs>
          <w:tab w:pos="1208" w:val="left" w:leader="none"/>
          <w:tab w:pos="1209" w:val="left" w:leader="none"/>
        </w:tabs>
        <w:spacing w:line="211" w:lineRule="auto" w:before="0" w:after="0"/>
        <w:ind w:left="1540" w:right="222" w:hanging="720"/>
        <w:jc w:val="left"/>
        <w:rPr>
          <w:sz w:val="24"/>
        </w:rPr>
      </w:pPr>
      <w:r>
        <w:rPr>
          <w:rFonts w:ascii="Arial"/>
          <w:sz w:val="24"/>
        </w:rPr>
        <w:t>G </w:t>
      </w:r>
      <w:r>
        <w:rPr>
          <w:sz w:val="24"/>
        </w:rPr>
        <w:t>Plaintiff claimed I materially violated a residential lease by the following</w:t>
      </w:r>
      <w:r>
        <w:rPr>
          <w:spacing w:val="-21"/>
          <w:sz w:val="24"/>
        </w:rPr>
        <w:t> </w:t>
      </w:r>
      <w:r>
        <w:rPr>
          <w:spacing w:val="-3"/>
          <w:sz w:val="24"/>
        </w:rPr>
        <w:t>actions </w:t>
      </w:r>
      <w:r>
        <w:rPr>
          <w:sz w:val="24"/>
        </w:rPr>
        <w:t>on the premises, including the common area and the curtilage of the premises: seriously endangered the safety of others, but I did</w:t>
      </w:r>
      <w:r>
        <w:rPr>
          <w:spacing w:val="-29"/>
          <w:sz w:val="24"/>
        </w:rPr>
        <w:t> </w:t>
      </w:r>
      <w:r>
        <w:rPr>
          <w:sz w:val="24"/>
        </w:rPr>
        <w:t>not.</w:t>
      </w:r>
    </w:p>
    <w:p>
      <w:pPr>
        <w:pStyle w:val="BodyText"/>
        <w:spacing w:before="3"/>
        <w:rPr>
          <w:sz w:val="21"/>
        </w:rPr>
      </w:pPr>
    </w:p>
    <w:p>
      <w:pPr>
        <w:pStyle w:val="ListParagraph"/>
        <w:numPr>
          <w:ilvl w:val="0"/>
          <w:numId w:val="2"/>
        </w:numPr>
        <w:tabs>
          <w:tab w:pos="1208" w:val="left" w:leader="none"/>
          <w:tab w:pos="1209" w:val="left" w:leader="none"/>
        </w:tabs>
        <w:spacing w:line="211" w:lineRule="auto" w:before="0" w:after="0"/>
        <w:ind w:left="1540" w:right="222" w:hanging="720"/>
        <w:jc w:val="left"/>
        <w:rPr>
          <w:sz w:val="24"/>
        </w:rPr>
      </w:pPr>
      <w:r>
        <w:rPr>
          <w:rFonts w:ascii="Arial"/>
          <w:sz w:val="24"/>
        </w:rPr>
        <w:t>G </w:t>
      </w:r>
      <w:r>
        <w:rPr>
          <w:sz w:val="24"/>
        </w:rPr>
        <w:t>Plaintiff claimed I materially violated a residential lease by the following</w:t>
      </w:r>
      <w:r>
        <w:rPr>
          <w:spacing w:val="-21"/>
          <w:sz w:val="24"/>
        </w:rPr>
        <w:t> </w:t>
      </w:r>
      <w:r>
        <w:rPr>
          <w:spacing w:val="-3"/>
          <w:sz w:val="24"/>
        </w:rPr>
        <w:t>actions </w:t>
      </w:r>
      <w:r>
        <w:rPr>
          <w:sz w:val="24"/>
        </w:rPr>
        <w:t>on the premises, including the common area and the curtilage of the premises: significantly damaged property, but I did</w:t>
      </w:r>
      <w:r>
        <w:rPr>
          <w:spacing w:val="-16"/>
          <w:sz w:val="24"/>
        </w:rPr>
        <w:t> </w:t>
      </w:r>
      <w:r>
        <w:rPr>
          <w:sz w:val="24"/>
        </w:rPr>
        <w:t>not.</w:t>
      </w:r>
    </w:p>
    <w:p>
      <w:pPr>
        <w:pStyle w:val="BodyText"/>
        <w:spacing w:before="3"/>
        <w:rPr>
          <w:sz w:val="21"/>
        </w:rPr>
      </w:pPr>
    </w:p>
    <w:p>
      <w:pPr>
        <w:pStyle w:val="ListParagraph"/>
        <w:numPr>
          <w:ilvl w:val="0"/>
          <w:numId w:val="2"/>
        </w:numPr>
        <w:tabs>
          <w:tab w:pos="1208" w:val="left" w:leader="none"/>
          <w:tab w:pos="1209" w:val="left" w:leader="none"/>
        </w:tabs>
        <w:spacing w:line="211" w:lineRule="auto" w:before="0" w:after="0"/>
        <w:ind w:left="1540" w:right="104" w:hanging="720"/>
        <w:jc w:val="left"/>
        <w:rPr>
          <w:sz w:val="24"/>
        </w:rPr>
      </w:pPr>
      <w:r>
        <w:rPr>
          <w:rFonts w:ascii="Arial" w:hAnsi="Arial"/>
          <w:sz w:val="24"/>
        </w:rPr>
        <w:t>G </w:t>
      </w:r>
      <w:r>
        <w:rPr>
          <w:sz w:val="24"/>
        </w:rPr>
        <w:t>Plaintiff claimed I held over after residential landlord termination of lease or nonrenewal of lease due to the need to move the property owner or property owner’s family member(s) into the property and where the property owner or property owner’s family member(s) move into the property within 7 days after it</w:t>
      </w:r>
      <w:r>
        <w:rPr>
          <w:spacing w:val="-40"/>
          <w:sz w:val="24"/>
        </w:rPr>
        <w:t> </w:t>
      </w:r>
      <w:r>
        <w:rPr>
          <w:spacing w:val="-8"/>
          <w:sz w:val="24"/>
        </w:rPr>
        <w:t>is </w:t>
      </w:r>
      <w:r>
        <w:rPr>
          <w:sz w:val="24"/>
        </w:rPr>
        <w:t>vacated by the tenant, but I did</w:t>
      </w:r>
      <w:r>
        <w:rPr>
          <w:spacing w:val="-18"/>
          <w:sz w:val="24"/>
        </w:rPr>
        <w:t> </w:t>
      </w:r>
      <w:r>
        <w:rPr>
          <w:sz w:val="24"/>
        </w:rPr>
        <w:t>not.</w:t>
      </w:r>
    </w:p>
    <w:p>
      <w:pPr>
        <w:pStyle w:val="BodyText"/>
        <w:spacing w:before="7"/>
        <w:rPr>
          <w:sz w:val="19"/>
        </w:rPr>
      </w:pPr>
    </w:p>
    <w:p>
      <w:pPr>
        <w:pStyle w:val="Heading1"/>
        <w:numPr>
          <w:ilvl w:val="0"/>
          <w:numId w:val="3"/>
        </w:numPr>
        <w:tabs>
          <w:tab w:pos="819" w:val="left" w:leader="none"/>
          <w:tab w:pos="820" w:val="left" w:leader="none"/>
        </w:tabs>
        <w:spacing w:line="240" w:lineRule="auto" w:before="0" w:after="0"/>
        <w:ind w:left="820" w:right="0" w:hanging="720"/>
        <w:jc w:val="left"/>
      </w:pPr>
      <w:r>
        <w:rPr/>
        <w:t>GENERAL</w:t>
      </w:r>
      <w:r>
        <w:rPr>
          <w:spacing w:val="-1"/>
        </w:rPr>
        <w:t> </w:t>
      </w:r>
      <w:r>
        <w:rPr/>
        <w:t>ANSWER</w:t>
      </w:r>
    </w:p>
    <w:p>
      <w:pPr>
        <w:pStyle w:val="ListParagraph"/>
        <w:numPr>
          <w:ilvl w:val="1"/>
          <w:numId w:val="3"/>
        </w:numPr>
        <w:tabs>
          <w:tab w:pos="1208" w:val="left" w:leader="none"/>
          <w:tab w:pos="1209" w:val="left" w:leader="none"/>
          <w:tab w:pos="9327" w:val="left" w:leader="none"/>
        </w:tabs>
        <w:spacing w:line="261" w:lineRule="exact" w:before="206" w:after="0"/>
        <w:ind w:left="1208" w:right="0" w:hanging="389"/>
        <w:jc w:val="left"/>
        <w:rPr>
          <w:sz w:val="24"/>
        </w:rPr>
      </w:pPr>
      <w:r>
        <w:rPr>
          <w:rFonts w:ascii="Arial"/>
          <w:sz w:val="24"/>
        </w:rPr>
        <w:t>G  </w:t>
      </w:r>
      <w:r>
        <w:rPr>
          <w:sz w:val="24"/>
        </w:rPr>
        <w:t>I admit the facts in these paragraphs of the</w:t>
      </w:r>
      <w:r>
        <w:rPr>
          <w:spacing w:val="-3"/>
          <w:sz w:val="24"/>
        </w:rPr>
        <w:t> </w:t>
      </w:r>
      <w:r>
        <w:rPr>
          <w:sz w:val="24"/>
        </w:rPr>
        <w:t>complaint: </w:t>
      </w:r>
      <w:r>
        <w:rPr>
          <w:sz w:val="24"/>
          <w:u w:val="single"/>
        </w:rPr>
        <w:t> </w:t>
        <w:tab/>
      </w:r>
    </w:p>
    <w:p>
      <w:pPr>
        <w:pStyle w:val="ListParagraph"/>
        <w:numPr>
          <w:ilvl w:val="1"/>
          <w:numId w:val="3"/>
        </w:numPr>
        <w:tabs>
          <w:tab w:pos="1208" w:val="left" w:leader="none"/>
          <w:tab w:pos="1209" w:val="left" w:leader="none"/>
          <w:tab w:pos="9358" w:val="left" w:leader="none"/>
        </w:tabs>
        <w:spacing w:line="244" w:lineRule="exact" w:before="0" w:after="0"/>
        <w:ind w:left="1208" w:right="0" w:hanging="389"/>
        <w:jc w:val="left"/>
        <w:rPr>
          <w:sz w:val="24"/>
        </w:rPr>
      </w:pPr>
      <w:r>
        <w:rPr>
          <w:rFonts w:ascii="Arial"/>
          <w:sz w:val="24"/>
        </w:rPr>
        <w:t>G  </w:t>
      </w:r>
      <w:r>
        <w:rPr>
          <w:sz w:val="24"/>
        </w:rPr>
        <w:t>I deny the facts in these paragraphs of the</w:t>
      </w:r>
      <w:r>
        <w:rPr>
          <w:spacing w:val="-13"/>
          <w:sz w:val="24"/>
        </w:rPr>
        <w:t> </w:t>
      </w:r>
      <w:r>
        <w:rPr>
          <w:sz w:val="24"/>
        </w:rPr>
        <w:t>complaint: </w:t>
      </w:r>
      <w:r>
        <w:rPr>
          <w:sz w:val="24"/>
          <w:u w:val="single"/>
        </w:rPr>
        <w:t> </w:t>
        <w:tab/>
      </w:r>
    </w:p>
    <w:p>
      <w:pPr>
        <w:pStyle w:val="ListParagraph"/>
        <w:numPr>
          <w:ilvl w:val="1"/>
          <w:numId w:val="3"/>
        </w:numPr>
        <w:tabs>
          <w:tab w:pos="1208" w:val="left" w:leader="none"/>
          <w:tab w:pos="1209" w:val="left" w:leader="none"/>
          <w:tab w:pos="9332" w:val="left" w:leader="none"/>
        </w:tabs>
        <w:spacing w:line="260" w:lineRule="exact" w:before="0" w:after="0"/>
        <w:ind w:left="1208" w:right="0" w:hanging="389"/>
        <w:jc w:val="left"/>
        <w:rPr>
          <w:sz w:val="24"/>
        </w:rPr>
      </w:pPr>
      <w:r>
        <w:rPr>
          <w:rFonts w:ascii="Arial"/>
          <w:sz w:val="24"/>
        </w:rPr>
        <w:t>G  </w:t>
      </w:r>
      <w:r>
        <w:rPr>
          <w:sz w:val="24"/>
        </w:rPr>
        <w:t>I cannot admit or deny these paragraphs of the</w:t>
      </w:r>
      <w:r>
        <w:rPr>
          <w:spacing w:val="-12"/>
          <w:sz w:val="24"/>
        </w:rPr>
        <w:t> </w:t>
      </w:r>
      <w:r>
        <w:rPr>
          <w:sz w:val="24"/>
        </w:rPr>
        <w:t>complaint: </w:t>
      </w:r>
      <w:r>
        <w:rPr>
          <w:sz w:val="24"/>
          <w:u w:val="single"/>
        </w:rPr>
        <w:t> </w:t>
        <w:tab/>
      </w:r>
    </w:p>
    <w:p>
      <w:pPr>
        <w:pStyle w:val="BodyText"/>
        <w:spacing w:before="8"/>
        <w:rPr>
          <w:sz w:val="13"/>
        </w:rPr>
      </w:pPr>
    </w:p>
    <w:p>
      <w:pPr>
        <w:pStyle w:val="Heading1"/>
        <w:numPr>
          <w:ilvl w:val="0"/>
          <w:numId w:val="3"/>
        </w:numPr>
        <w:tabs>
          <w:tab w:pos="819" w:val="left" w:leader="none"/>
          <w:tab w:pos="820" w:val="left" w:leader="none"/>
        </w:tabs>
        <w:spacing w:line="240" w:lineRule="auto" w:before="58" w:after="0"/>
        <w:ind w:left="820" w:right="0" w:hanging="720"/>
        <w:jc w:val="left"/>
      </w:pPr>
      <w:r>
        <w:rPr/>
        <w:t>TYPE OF TENANCY OR</w:t>
      </w:r>
      <w:r>
        <w:rPr>
          <w:spacing w:val="-3"/>
        </w:rPr>
        <w:t> </w:t>
      </w:r>
      <w:r>
        <w:rPr/>
        <w:t>OCCUPANCY</w:t>
      </w:r>
    </w:p>
    <w:p>
      <w:pPr>
        <w:pStyle w:val="ListParagraph"/>
        <w:numPr>
          <w:ilvl w:val="1"/>
          <w:numId w:val="3"/>
        </w:numPr>
        <w:tabs>
          <w:tab w:pos="1208" w:val="left" w:leader="none"/>
          <w:tab w:pos="1209" w:val="left" w:leader="none"/>
        </w:tabs>
        <w:spacing w:line="261" w:lineRule="exact" w:before="205" w:after="0"/>
        <w:ind w:left="1208" w:right="0" w:hanging="389"/>
        <w:jc w:val="left"/>
        <w:rPr>
          <w:sz w:val="24"/>
        </w:rPr>
      </w:pPr>
      <w:r>
        <w:rPr>
          <w:rFonts w:ascii="Arial"/>
          <w:sz w:val="24"/>
        </w:rPr>
        <w:t>G </w:t>
      </w:r>
      <w:r>
        <w:rPr>
          <w:sz w:val="24"/>
        </w:rPr>
        <w:t>Private term</w:t>
      </w:r>
      <w:r>
        <w:rPr>
          <w:spacing w:val="5"/>
          <w:sz w:val="24"/>
        </w:rPr>
        <w:t> </w:t>
      </w:r>
      <w:r>
        <w:rPr>
          <w:sz w:val="24"/>
        </w:rPr>
        <w:t>lease.</w:t>
      </w:r>
    </w:p>
    <w:p>
      <w:pPr>
        <w:pStyle w:val="ListParagraph"/>
        <w:numPr>
          <w:ilvl w:val="1"/>
          <w:numId w:val="3"/>
        </w:numPr>
        <w:tabs>
          <w:tab w:pos="1208" w:val="left" w:leader="none"/>
          <w:tab w:pos="1209" w:val="left" w:leader="none"/>
        </w:tabs>
        <w:spacing w:line="244" w:lineRule="exact" w:before="0" w:after="0"/>
        <w:ind w:left="1208" w:right="0" w:hanging="389"/>
        <w:jc w:val="left"/>
        <w:rPr>
          <w:sz w:val="24"/>
        </w:rPr>
      </w:pPr>
      <w:r>
        <w:rPr>
          <w:rFonts w:ascii="Arial"/>
          <w:sz w:val="24"/>
        </w:rPr>
        <w:t>G </w:t>
      </w:r>
      <w:r>
        <w:rPr>
          <w:sz w:val="24"/>
        </w:rPr>
        <w:t>Private month-to-month or periodic</w:t>
      </w:r>
      <w:r>
        <w:rPr>
          <w:spacing w:val="4"/>
          <w:sz w:val="24"/>
        </w:rPr>
        <w:t> </w:t>
      </w:r>
      <w:r>
        <w:rPr>
          <w:sz w:val="24"/>
        </w:rPr>
        <w:t>tenancy.</w:t>
      </w:r>
    </w:p>
    <w:p>
      <w:pPr>
        <w:pStyle w:val="ListParagraph"/>
        <w:numPr>
          <w:ilvl w:val="1"/>
          <w:numId w:val="3"/>
        </w:numPr>
        <w:tabs>
          <w:tab w:pos="1208" w:val="left" w:leader="none"/>
          <w:tab w:pos="1209" w:val="left" w:leader="none"/>
        </w:tabs>
        <w:spacing w:line="260" w:lineRule="exact" w:before="0" w:after="0"/>
        <w:ind w:left="1208" w:right="0" w:hanging="389"/>
        <w:jc w:val="left"/>
        <w:rPr>
          <w:sz w:val="24"/>
        </w:rPr>
      </w:pPr>
      <w:r>
        <w:rPr>
          <w:rFonts w:ascii="Arial"/>
          <w:sz w:val="24"/>
        </w:rPr>
        <w:t>G </w:t>
      </w:r>
      <w:r>
        <w:rPr>
          <w:sz w:val="24"/>
        </w:rPr>
        <w:t>Foreclosed mortgage or canceled contract for</w:t>
      </w:r>
      <w:r>
        <w:rPr>
          <w:spacing w:val="4"/>
          <w:sz w:val="24"/>
        </w:rPr>
        <w:t> </w:t>
      </w:r>
      <w:r>
        <w:rPr>
          <w:sz w:val="24"/>
        </w:rPr>
        <w:t>deed.</w:t>
      </w:r>
    </w:p>
    <w:p>
      <w:pPr>
        <w:pStyle w:val="BodyText"/>
        <w:spacing w:before="9"/>
        <w:rPr>
          <w:sz w:val="18"/>
        </w:rPr>
      </w:pPr>
    </w:p>
    <w:p>
      <w:pPr>
        <w:pStyle w:val="Heading1"/>
        <w:numPr>
          <w:ilvl w:val="0"/>
          <w:numId w:val="3"/>
        </w:numPr>
        <w:tabs>
          <w:tab w:pos="819" w:val="left" w:leader="none"/>
          <w:tab w:pos="820" w:val="left" w:leader="none"/>
        </w:tabs>
        <w:spacing w:line="240" w:lineRule="auto" w:before="0" w:after="0"/>
        <w:ind w:left="820" w:right="0" w:hanging="720"/>
        <w:jc w:val="left"/>
      </w:pPr>
      <w:r>
        <w:rPr/>
        <w:t>SERVICE</w:t>
      </w:r>
    </w:p>
    <w:p>
      <w:pPr>
        <w:pStyle w:val="BodyText"/>
        <w:spacing w:before="3"/>
        <w:rPr>
          <w:b/>
          <w:sz w:val="20"/>
        </w:rPr>
      </w:pPr>
    </w:p>
    <w:p>
      <w:pPr>
        <w:pStyle w:val="ListParagraph"/>
        <w:numPr>
          <w:ilvl w:val="1"/>
          <w:numId w:val="3"/>
        </w:numPr>
        <w:tabs>
          <w:tab w:pos="1208" w:val="left" w:leader="none"/>
          <w:tab w:pos="1209" w:val="left" w:leader="none"/>
        </w:tabs>
        <w:spacing w:line="211" w:lineRule="auto" w:before="0" w:after="0"/>
        <w:ind w:left="1540" w:right="118" w:hanging="720"/>
        <w:jc w:val="left"/>
        <w:rPr>
          <w:sz w:val="24"/>
        </w:rPr>
      </w:pPr>
      <w:r>
        <w:rPr>
          <w:rFonts w:ascii="Arial" w:hAnsi="Arial"/>
          <w:sz w:val="24"/>
        </w:rPr>
        <w:t>G </w:t>
      </w:r>
      <w:r>
        <w:rPr>
          <w:sz w:val="24"/>
        </w:rPr>
        <w:t>Minn. Stat. § 504B.331 (formerly § 566.06) requires strict compliance in service, not merely substantial compliance. </w:t>
      </w:r>
      <w:r>
        <w:rPr>
          <w:i/>
          <w:sz w:val="24"/>
        </w:rPr>
        <w:t>Color-Ad Packaging, Inc. v. Kapak Industries, Inc.</w:t>
      </w:r>
      <w:r>
        <w:rPr>
          <w:sz w:val="24"/>
        </w:rPr>
        <w:t>, 285 Minn. 525, 526 n.1, 172 N.W.2d 568, 569 n.1 (1969), overruled on </w:t>
      </w:r>
      <w:r>
        <w:rPr>
          <w:spacing w:val="-4"/>
          <w:sz w:val="24"/>
        </w:rPr>
        <w:t>other </w:t>
      </w:r>
      <w:r>
        <w:rPr>
          <w:sz w:val="24"/>
        </w:rPr>
        <w:t>grounds by </w:t>
      </w:r>
      <w:r>
        <w:rPr>
          <w:i/>
          <w:sz w:val="24"/>
        </w:rPr>
        <w:t>In re Lake Valley Twp. Bd., Traverse Cnty. v. Lewis</w:t>
      </w:r>
      <w:r>
        <w:rPr>
          <w:sz w:val="24"/>
        </w:rPr>
        <w:t>, 305 Minn. 488, 234 N.W.2d 815 (1975); </w:t>
      </w:r>
      <w:r>
        <w:rPr>
          <w:i/>
          <w:sz w:val="24"/>
        </w:rPr>
        <w:t>Bloom v. American Express Co.</w:t>
      </w:r>
      <w:r>
        <w:rPr>
          <w:sz w:val="24"/>
        </w:rPr>
        <w:t>, 222 Minn. 249, 253, 23 N.W.2d 570 (1946); </w:t>
      </w:r>
      <w:r>
        <w:rPr>
          <w:i/>
          <w:sz w:val="24"/>
        </w:rPr>
        <w:t>Koski v. Johnson</w:t>
      </w:r>
      <w:r>
        <w:rPr>
          <w:sz w:val="24"/>
        </w:rPr>
        <w:t>, 837 N.W.2d 739 (Minn. Ct. App. 2013); </w:t>
      </w:r>
      <w:r>
        <w:rPr>
          <w:i/>
          <w:sz w:val="24"/>
        </w:rPr>
        <w:t>Nieszner v. St. Paul Sch. Dist. No. 625</w:t>
      </w:r>
      <w:r>
        <w:rPr>
          <w:sz w:val="24"/>
        </w:rPr>
        <w:t>, 643 N.W.2d 645, 649–50 (Minn. Ct. App. 2002).</w:t>
      </w:r>
    </w:p>
    <w:p>
      <w:pPr>
        <w:pStyle w:val="BodyText"/>
        <w:spacing w:before="8"/>
        <w:rPr>
          <w:sz w:val="21"/>
        </w:rPr>
      </w:pPr>
    </w:p>
    <w:p>
      <w:pPr>
        <w:pStyle w:val="ListParagraph"/>
        <w:numPr>
          <w:ilvl w:val="1"/>
          <w:numId w:val="3"/>
        </w:numPr>
        <w:tabs>
          <w:tab w:pos="1208" w:val="left" w:leader="none"/>
          <w:tab w:pos="1209" w:val="left" w:leader="none"/>
        </w:tabs>
        <w:spacing w:line="211" w:lineRule="auto" w:before="0" w:after="0"/>
        <w:ind w:left="1540" w:right="249" w:hanging="720"/>
        <w:jc w:val="left"/>
        <w:rPr>
          <w:sz w:val="24"/>
        </w:rPr>
      </w:pPr>
      <w:r>
        <w:rPr>
          <w:rFonts w:ascii="Arial" w:hAnsi="Arial"/>
          <w:sz w:val="24"/>
        </w:rPr>
        <w:t>G </w:t>
      </w:r>
      <w:r>
        <w:rPr>
          <w:sz w:val="24"/>
        </w:rPr>
        <w:t>The summons and complaint (court papers) were not delivered or mailed at least seven </w:t>
      </w:r>
      <w:r>
        <w:rPr>
          <w:spacing w:val="-3"/>
          <w:sz w:val="24"/>
        </w:rPr>
        <w:t>days </w:t>
      </w:r>
      <w:r>
        <w:rPr>
          <w:sz w:val="24"/>
        </w:rPr>
        <w:t>before the court hearing. Minn. Stat. § 504B.331 (formerly §</w:t>
      </w:r>
      <w:r>
        <w:rPr>
          <w:spacing w:val="-32"/>
          <w:sz w:val="24"/>
        </w:rPr>
        <w:t> </w:t>
      </w:r>
      <w:r>
        <w:rPr>
          <w:sz w:val="24"/>
        </w:rPr>
        <w:t>566.06).</w:t>
      </w:r>
    </w:p>
    <w:p>
      <w:pPr>
        <w:pStyle w:val="BodyText"/>
        <w:spacing w:before="9"/>
        <w:rPr>
          <w:sz w:val="18"/>
        </w:rPr>
      </w:pPr>
    </w:p>
    <w:p>
      <w:pPr>
        <w:pStyle w:val="ListParagraph"/>
        <w:numPr>
          <w:ilvl w:val="1"/>
          <w:numId w:val="3"/>
        </w:numPr>
        <w:tabs>
          <w:tab w:pos="1208" w:val="left" w:leader="none"/>
          <w:tab w:pos="1209" w:val="left" w:leader="none"/>
        </w:tabs>
        <w:spacing w:line="240" w:lineRule="auto" w:before="0" w:after="0"/>
        <w:ind w:left="1208" w:right="0" w:hanging="389"/>
        <w:jc w:val="left"/>
        <w:rPr>
          <w:sz w:val="24"/>
        </w:rPr>
      </w:pPr>
      <w:r>
        <w:rPr>
          <w:rFonts w:ascii="Arial" w:hAnsi="Arial"/>
          <w:sz w:val="24"/>
        </w:rPr>
        <w:t>G </w:t>
      </w:r>
      <w:r>
        <w:rPr>
          <w:sz w:val="24"/>
        </w:rPr>
        <w:t>The court papers were delivered on a </w:t>
      </w:r>
      <w:r>
        <w:rPr>
          <w:spacing w:val="-3"/>
          <w:sz w:val="24"/>
        </w:rPr>
        <w:t>legal </w:t>
      </w:r>
      <w:r>
        <w:rPr>
          <w:sz w:val="24"/>
        </w:rPr>
        <w:t>holiday. Minn. Stat. §</w:t>
      </w:r>
      <w:r>
        <w:rPr>
          <w:spacing w:val="7"/>
          <w:sz w:val="24"/>
        </w:rPr>
        <w:t> </w:t>
      </w:r>
      <w:r>
        <w:rPr>
          <w:sz w:val="24"/>
        </w:rPr>
        <w:t>645.44.</w:t>
      </w:r>
    </w:p>
    <w:p>
      <w:pPr>
        <w:pStyle w:val="BodyText"/>
        <w:spacing w:before="7"/>
        <w:rPr>
          <w:sz w:val="20"/>
        </w:rPr>
      </w:pPr>
    </w:p>
    <w:p>
      <w:pPr>
        <w:pStyle w:val="ListParagraph"/>
        <w:numPr>
          <w:ilvl w:val="1"/>
          <w:numId w:val="3"/>
        </w:numPr>
        <w:tabs>
          <w:tab w:pos="1208" w:val="left" w:leader="none"/>
          <w:tab w:pos="1209" w:val="left" w:leader="none"/>
        </w:tabs>
        <w:spacing w:line="211" w:lineRule="auto" w:before="0" w:after="0"/>
        <w:ind w:left="1540" w:right="158" w:hanging="720"/>
        <w:jc w:val="left"/>
        <w:rPr>
          <w:sz w:val="24"/>
        </w:rPr>
      </w:pPr>
      <w:r>
        <w:rPr>
          <w:rFonts w:ascii="Arial"/>
          <w:sz w:val="24"/>
        </w:rPr>
        <w:t>G </w:t>
      </w:r>
      <w:r>
        <w:rPr>
          <w:sz w:val="24"/>
        </w:rPr>
        <w:t>The person who delivered the court papers is the named-Plaintiff, or is another person who is not wholly disinterested in the case. Minn. R. Civ. P. 4.02; </w:t>
      </w:r>
      <w:r>
        <w:rPr>
          <w:i/>
          <w:sz w:val="24"/>
        </w:rPr>
        <w:t>Lewis </w:t>
      </w:r>
      <w:r>
        <w:rPr>
          <w:i/>
          <w:spacing w:val="-9"/>
          <w:sz w:val="24"/>
        </w:rPr>
        <w:t>v. </w:t>
      </w:r>
      <w:r>
        <w:rPr>
          <w:i/>
          <w:sz w:val="24"/>
        </w:rPr>
        <w:t>Contracting Northwest, Inc.</w:t>
      </w:r>
      <w:r>
        <w:rPr>
          <w:sz w:val="24"/>
        </w:rPr>
        <w:t>, 413 N.W.2d 154, 155 (Minn. Ct. App. 1987).</w:t>
      </w:r>
    </w:p>
    <w:p>
      <w:pPr>
        <w:spacing w:after="0" w:line="211" w:lineRule="auto"/>
        <w:jc w:val="left"/>
        <w:rPr>
          <w:sz w:val="24"/>
        </w:rPr>
        <w:sectPr>
          <w:pgSz w:w="12240" w:h="15840"/>
          <w:pgMar w:header="0" w:footer="1121" w:top="1280" w:bottom="1320" w:left="1340" w:right="1340"/>
        </w:sectPr>
      </w:pPr>
    </w:p>
    <w:p>
      <w:pPr>
        <w:pStyle w:val="ListParagraph"/>
        <w:numPr>
          <w:ilvl w:val="1"/>
          <w:numId w:val="3"/>
        </w:numPr>
        <w:tabs>
          <w:tab w:pos="1208" w:val="left" w:leader="none"/>
          <w:tab w:pos="1209" w:val="left" w:leader="none"/>
        </w:tabs>
        <w:spacing w:line="211" w:lineRule="auto" w:before="67" w:after="0"/>
        <w:ind w:left="1540" w:right="113" w:hanging="720"/>
        <w:jc w:val="left"/>
        <w:rPr>
          <w:sz w:val="24"/>
        </w:rPr>
      </w:pPr>
      <w:r>
        <w:rPr>
          <w:rFonts w:ascii="Arial" w:hAnsi="Arial"/>
          <w:sz w:val="24"/>
        </w:rPr>
        <w:t>G </w:t>
      </w:r>
      <w:r>
        <w:rPr>
          <w:sz w:val="24"/>
        </w:rPr>
        <w:t>Plaintiff improperly used substituted service to give the court papers to another person and not me. Minn. Stat. § 504B.331 (formerly § 566.06); </w:t>
      </w:r>
      <w:r>
        <w:rPr>
          <w:i/>
          <w:sz w:val="24"/>
        </w:rPr>
        <w:t>Koski v. </w:t>
      </w:r>
      <w:r>
        <w:rPr>
          <w:i/>
          <w:spacing w:val="-3"/>
          <w:sz w:val="24"/>
        </w:rPr>
        <w:t>Johnson</w:t>
      </w:r>
      <w:r>
        <w:rPr>
          <w:spacing w:val="-3"/>
          <w:sz w:val="24"/>
        </w:rPr>
        <w:t>, </w:t>
      </w:r>
      <w:r>
        <w:rPr>
          <w:sz w:val="24"/>
        </w:rPr>
        <w:t>837 N.W.2d 739 (Minn. Ct. App. 2013) (strict compliance required).</w:t>
      </w:r>
    </w:p>
    <w:p>
      <w:pPr>
        <w:pStyle w:val="BodyText"/>
        <w:spacing w:before="11"/>
        <w:rPr>
          <w:sz w:val="18"/>
        </w:rPr>
      </w:pPr>
    </w:p>
    <w:p>
      <w:pPr>
        <w:pStyle w:val="ListParagraph"/>
        <w:numPr>
          <w:ilvl w:val="2"/>
          <w:numId w:val="3"/>
        </w:numPr>
        <w:tabs>
          <w:tab w:pos="2259" w:val="left" w:leader="none"/>
          <w:tab w:pos="2260" w:val="left" w:leader="none"/>
          <w:tab w:pos="2979" w:val="left" w:leader="none"/>
        </w:tabs>
        <w:spacing w:line="260" w:lineRule="exact" w:before="0" w:after="0"/>
        <w:ind w:left="2260" w:right="0" w:hanging="720"/>
        <w:jc w:val="left"/>
        <w:rPr>
          <w:sz w:val="24"/>
        </w:rPr>
      </w:pPr>
      <w:r>
        <w:rPr>
          <w:rFonts w:ascii="Arial"/>
          <w:sz w:val="24"/>
        </w:rPr>
        <w:t>G</w:t>
        <w:tab/>
      </w:r>
      <w:r>
        <w:rPr>
          <w:sz w:val="24"/>
        </w:rPr>
        <w:t>Plaintiff could have found me in the</w:t>
      </w:r>
      <w:r>
        <w:rPr>
          <w:spacing w:val="-2"/>
          <w:sz w:val="24"/>
        </w:rPr>
        <w:t> </w:t>
      </w:r>
      <w:r>
        <w:rPr>
          <w:sz w:val="24"/>
        </w:rPr>
        <w:t>county.</w:t>
      </w:r>
    </w:p>
    <w:p>
      <w:pPr>
        <w:pStyle w:val="ListParagraph"/>
        <w:numPr>
          <w:ilvl w:val="2"/>
          <w:numId w:val="3"/>
        </w:numPr>
        <w:tabs>
          <w:tab w:pos="2259" w:val="left" w:leader="none"/>
          <w:tab w:pos="2260" w:val="left" w:leader="none"/>
          <w:tab w:pos="2979" w:val="left" w:leader="none"/>
        </w:tabs>
        <w:spacing w:line="244" w:lineRule="exact" w:before="0" w:after="0"/>
        <w:ind w:left="2260" w:right="0" w:hanging="720"/>
        <w:jc w:val="left"/>
        <w:rPr>
          <w:sz w:val="24"/>
        </w:rPr>
      </w:pPr>
      <w:r>
        <w:rPr>
          <w:rFonts w:ascii="Arial"/>
          <w:sz w:val="24"/>
        </w:rPr>
        <w:t>G</w:t>
        <w:tab/>
      </w:r>
      <w:r>
        <w:rPr>
          <w:sz w:val="24"/>
        </w:rPr>
        <w:t>The person does not reside with me.</w:t>
      </w:r>
    </w:p>
    <w:p>
      <w:pPr>
        <w:pStyle w:val="ListParagraph"/>
        <w:numPr>
          <w:ilvl w:val="2"/>
          <w:numId w:val="3"/>
        </w:numPr>
        <w:tabs>
          <w:tab w:pos="2259" w:val="left" w:leader="none"/>
          <w:tab w:pos="2260" w:val="left" w:leader="none"/>
          <w:tab w:pos="2979" w:val="left" w:leader="none"/>
        </w:tabs>
        <w:spacing w:line="244" w:lineRule="exact" w:before="0" w:after="0"/>
        <w:ind w:left="2260" w:right="0" w:hanging="720"/>
        <w:jc w:val="left"/>
        <w:rPr>
          <w:sz w:val="24"/>
        </w:rPr>
      </w:pPr>
      <w:r>
        <w:rPr>
          <w:rFonts w:ascii="Arial"/>
          <w:sz w:val="24"/>
        </w:rPr>
        <w:t>G</w:t>
        <w:tab/>
      </w:r>
      <w:r>
        <w:rPr>
          <w:sz w:val="24"/>
        </w:rPr>
        <w:t>The person is not of suitable age and</w:t>
      </w:r>
      <w:r>
        <w:rPr>
          <w:spacing w:val="-9"/>
          <w:sz w:val="24"/>
        </w:rPr>
        <w:t> </w:t>
      </w:r>
      <w:r>
        <w:rPr>
          <w:sz w:val="24"/>
        </w:rPr>
        <w:t>discretion.</w:t>
      </w:r>
    </w:p>
    <w:p>
      <w:pPr>
        <w:pStyle w:val="ListParagraph"/>
        <w:numPr>
          <w:ilvl w:val="2"/>
          <w:numId w:val="3"/>
        </w:numPr>
        <w:tabs>
          <w:tab w:pos="2259" w:val="left" w:leader="none"/>
          <w:tab w:pos="2260" w:val="left" w:leader="none"/>
          <w:tab w:pos="2979" w:val="left" w:leader="none"/>
        </w:tabs>
        <w:spacing w:line="213" w:lineRule="auto" w:before="7" w:after="0"/>
        <w:ind w:left="2980" w:right="450" w:hanging="1440"/>
        <w:jc w:val="left"/>
        <w:rPr>
          <w:sz w:val="24"/>
        </w:rPr>
      </w:pPr>
      <w:r>
        <w:rPr>
          <w:rFonts w:ascii="Arial"/>
          <w:sz w:val="24"/>
        </w:rPr>
        <w:t>G</w:t>
        <w:tab/>
      </w:r>
      <w:r>
        <w:rPr>
          <w:sz w:val="24"/>
        </w:rPr>
        <w:t>The person was not at my residence when the court papers </w:t>
      </w:r>
      <w:r>
        <w:rPr>
          <w:spacing w:val="-5"/>
          <w:sz w:val="24"/>
        </w:rPr>
        <w:t>were </w:t>
      </w:r>
      <w:r>
        <w:rPr>
          <w:sz w:val="24"/>
        </w:rPr>
        <w:t>delivered.</w:t>
      </w:r>
    </w:p>
    <w:p>
      <w:pPr>
        <w:pStyle w:val="BodyText"/>
        <w:spacing w:before="1"/>
        <w:rPr>
          <w:sz w:val="21"/>
        </w:rPr>
      </w:pPr>
    </w:p>
    <w:p>
      <w:pPr>
        <w:pStyle w:val="ListParagraph"/>
        <w:numPr>
          <w:ilvl w:val="1"/>
          <w:numId w:val="3"/>
        </w:numPr>
        <w:tabs>
          <w:tab w:pos="1208" w:val="left" w:leader="none"/>
          <w:tab w:pos="1209" w:val="left" w:leader="none"/>
        </w:tabs>
        <w:spacing w:line="211" w:lineRule="auto" w:before="0" w:after="0"/>
        <w:ind w:left="1540" w:right="430" w:hanging="720"/>
        <w:jc w:val="left"/>
        <w:rPr>
          <w:sz w:val="24"/>
        </w:rPr>
      </w:pPr>
      <w:r>
        <w:rPr>
          <w:rFonts w:ascii="Arial" w:hAnsi="Arial"/>
          <w:sz w:val="24"/>
        </w:rPr>
        <w:t>G </w:t>
      </w:r>
      <w:r>
        <w:rPr>
          <w:sz w:val="24"/>
        </w:rPr>
        <w:t>Plaintiff improperly used service by mail and posting. Minn. Stat. § 504B.331 (formerly § 566.06); </w:t>
      </w:r>
      <w:r>
        <w:rPr>
          <w:i/>
          <w:sz w:val="24"/>
        </w:rPr>
        <w:t>Koski v. Johnson</w:t>
      </w:r>
      <w:r>
        <w:rPr>
          <w:sz w:val="24"/>
        </w:rPr>
        <w:t>, 837 N.W.2d 739 (Minn. Ct. App. </w:t>
      </w:r>
      <w:r>
        <w:rPr>
          <w:spacing w:val="-3"/>
          <w:sz w:val="24"/>
        </w:rPr>
        <w:t>2013) </w:t>
      </w:r>
      <w:r>
        <w:rPr>
          <w:sz w:val="24"/>
        </w:rPr>
        <w:t>(strict compliance required).</w:t>
      </w:r>
    </w:p>
    <w:p>
      <w:pPr>
        <w:pStyle w:val="BodyText"/>
        <w:spacing w:before="10"/>
        <w:rPr>
          <w:sz w:val="18"/>
        </w:rPr>
      </w:pPr>
    </w:p>
    <w:p>
      <w:pPr>
        <w:pStyle w:val="ListParagraph"/>
        <w:numPr>
          <w:ilvl w:val="2"/>
          <w:numId w:val="3"/>
        </w:numPr>
        <w:tabs>
          <w:tab w:pos="2259" w:val="left" w:leader="none"/>
          <w:tab w:pos="2260" w:val="left" w:leader="none"/>
          <w:tab w:pos="2979" w:val="left" w:leader="none"/>
        </w:tabs>
        <w:spacing w:line="260" w:lineRule="exact" w:before="1" w:after="0"/>
        <w:ind w:left="2260" w:right="0" w:hanging="720"/>
        <w:jc w:val="left"/>
        <w:rPr>
          <w:sz w:val="24"/>
        </w:rPr>
      </w:pPr>
      <w:r>
        <w:rPr>
          <w:rFonts w:ascii="Arial"/>
          <w:sz w:val="24"/>
        </w:rPr>
        <w:t>G</w:t>
        <w:tab/>
      </w:r>
      <w:r>
        <w:rPr>
          <w:sz w:val="24"/>
        </w:rPr>
        <w:t>Plaintiff could have found me in the</w:t>
      </w:r>
      <w:r>
        <w:rPr>
          <w:spacing w:val="-2"/>
          <w:sz w:val="24"/>
        </w:rPr>
        <w:t> </w:t>
      </w:r>
      <w:r>
        <w:rPr>
          <w:sz w:val="24"/>
        </w:rPr>
        <w:t>county.</w:t>
      </w:r>
    </w:p>
    <w:p>
      <w:pPr>
        <w:pStyle w:val="ListParagraph"/>
        <w:numPr>
          <w:ilvl w:val="2"/>
          <w:numId w:val="3"/>
        </w:numPr>
        <w:tabs>
          <w:tab w:pos="2259" w:val="left" w:leader="none"/>
          <w:tab w:pos="2260" w:val="left" w:leader="none"/>
          <w:tab w:pos="2979" w:val="left" w:leader="none"/>
        </w:tabs>
        <w:spacing w:line="213" w:lineRule="auto" w:before="7" w:after="0"/>
        <w:ind w:left="2980" w:right="1358" w:hanging="1440"/>
        <w:jc w:val="left"/>
        <w:rPr>
          <w:sz w:val="24"/>
        </w:rPr>
      </w:pPr>
      <w:r>
        <w:rPr>
          <w:rFonts w:ascii="Arial"/>
          <w:sz w:val="24"/>
        </w:rPr>
        <w:t>G</w:t>
        <w:tab/>
      </w:r>
      <w:r>
        <w:rPr>
          <w:sz w:val="24"/>
        </w:rPr>
        <w:t>Plaintiff did not try personal service twice on</w:t>
      </w:r>
      <w:r>
        <w:rPr>
          <w:spacing w:val="-22"/>
          <w:sz w:val="24"/>
        </w:rPr>
        <w:t> </w:t>
      </w:r>
      <w:r>
        <w:rPr>
          <w:sz w:val="24"/>
        </w:rPr>
        <w:t>different days, once between 6:00 p.m. and 10:00</w:t>
      </w:r>
      <w:r>
        <w:rPr>
          <w:spacing w:val="-3"/>
          <w:sz w:val="24"/>
        </w:rPr>
        <w:t> </w:t>
      </w:r>
      <w:r>
        <w:rPr>
          <w:sz w:val="24"/>
        </w:rPr>
        <w:t>p.m.</w:t>
      </w:r>
    </w:p>
    <w:p>
      <w:pPr>
        <w:pStyle w:val="ListParagraph"/>
        <w:numPr>
          <w:ilvl w:val="2"/>
          <w:numId w:val="3"/>
        </w:numPr>
        <w:tabs>
          <w:tab w:pos="2259" w:val="left" w:leader="none"/>
          <w:tab w:pos="2260" w:val="left" w:leader="none"/>
          <w:tab w:pos="2979" w:val="left" w:leader="none"/>
        </w:tabs>
        <w:spacing w:line="213" w:lineRule="auto" w:before="0" w:after="0"/>
        <w:ind w:left="2980" w:right="123" w:hanging="1440"/>
        <w:jc w:val="left"/>
        <w:rPr>
          <w:sz w:val="24"/>
        </w:rPr>
      </w:pPr>
      <w:r>
        <w:rPr>
          <w:rFonts w:ascii="Arial"/>
          <w:sz w:val="24"/>
        </w:rPr>
        <w:t>G</w:t>
        <w:tab/>
      </w:r>
      <w:r>
        <w:rPr>
          <w:sz w:val="24"/>
        </w:rPr>
        <w:t>Plaintiff mailed the court papers before attempting personal </w:t>
      </w:r>
      <w:r>
        <w:rPr>
          <w:spacing w:val="-3"/>
          <w:sz w:val="24"/>
        </w:rPr>
        <w:t>service </w:t>
      </w:r>
      <w:r>
        <w:rPr>
          <w:sz w:val="24"/>
        </w:rPr>
        <w:t>twice on different </w:t>
      </w:r>
      <w:r>
        <w:rPr>
          <w:spacing w:val="-3"/>
          <w:sz w:val="24"/>
        </w:rPr>
        <w:t>days.</w:t>
      </w:r>
    </w:p>
    <w:p>
      <w:pPr>
        <w:pStyle w:val="ListParagraph"/>
        <w:numPr>
          <w:ilvl w:val="2"/>
          <w:numId w:val="3"/>
        </w:numPr>
        <w:tabs>
          <w:tab w:pos="2259" w:val="left" w:leader="none"/>
          <w:tab w:pos="2260" w:val="left" w:leader="none"/>
          <w:tab w:pos="2979" w:val="left" w:leader="none"/>
        </w:tabs>
        <w:spacing w:line="213" w:lineRule="auto" w:before="0" w:after="0"/>
        <w:ind w:left="2980" w:right="565" w:hanging="1440"/>
        <w:jc w:val="left"/>
        <w:rPr>
          <w:sz w:val="24"/>
        </w:rPr>
      </w:pPr>
      <w:r>
        <w:rPr>
          <w:rFonts w:ascii="Arial"/>
          <w:sz w:val="24"/>
        </w:rPr>
        <w:t>G</w:t>
        <w:tab/>
      </w:r>
      <w:r>
        <w:rPr>
          <w:sz w:val="24"/>
        </w:rPr>
        <w:t>The court papers were mailed but not posted, or posted but </w:t>
      </w:r>
      <w:r>
        <w:rPr>
          <w:spacing w:val="-6"/>
          <w:sz w:val="24"/>
        </w:rPr>
        <w:t>not </w:t>
      </w:r>
      <w:r>
        <w:rPr>
          <w:sz w:val="24"/>
        </w:rPr>
        <w:t>mailed.</w:t>
      </w:r>
    </w:p>
    <w:p>
      <w:pPr>
        <w:pStyle w:val="ListParagraph"/>
        <w:numPr>
          <w:ilvl w:val="2"/>
          <w:numId w:val="3"/>
        </w:numPr>
        <w:tabs>
          <w:tab w:pos="2259" w:val="left" w:leader="none"/>
          <w:tab w:pos="2260" w:val="left" w:leader="none"/>
          <w:tab w:pos="2979" w:val="left" w:leader="none"/>
        </w:tabs>
        <w:spacing w:line="213" w:lineRule="auto" w:before="0" w:after="0"/>
        <w:ind w:left="2980" w:right="201" w:hanging="1440"/>
        <w:jc w:val="left"/>
        <w:rPr>
          <w:sz w:val="24"/>
        </w:rPr>
      </w:pPr>
      <w:r>
        <w:rPr>
          <w:rFonts w:ascii="Arial"/>
          <w:sz w:val="24"/>
        </w:rPr>
        <w:t>G</w:t>
        <w:tab/>
      </w:r>
      <w:r>
        <w:rPr>
          <w:sz w:val="24"/>
        </w:rPr>
        <w:t>Plaintiff posted the court papers before mailing the court papers </w:t>
      </w:r>
      <w:r>
        <w:rPr>
          <w:spacing w:val="-9"/>
          <w:sz w:val="24"/>
        </w:rPr>
        <w:t>or </w:t>
      </w:r>
      <w:r>
        <w:rPr>
          <w:sz w:val="24"/>
        </w:rPr>
        <w:t>filing the affidavit of</w:t>
      </w:r>
      <w:r>
        <w:rPr>
          <w:spacing w:val="-3"/>
          <w:sz w:val="24"/>
        </w:rPr>
        <w:t> </w:t>
      </w:r>
      <w:r>
        <w:rPr>
          <w:sz w:val="24"/>
        </w:rPr>
        <w:t>mailing.</w:t>
      </w:r>
    </w:p>
    <w:p>
      <w:pPr>
        <w:pStyle w:val="ListParagraph"/>
        <w:numPr>
          <w:ilvl w:val="2"/>
          <w:numId w:val="3"/>
        </w:numPr>
        <w:tabs>
          <w:tab w:pos="2259" w:val="left" w:leader="none"/>
          <w:tab w:pos="2260" w:val="left" w:leader="none"/>
          <w:tab w:pos="2979" w:val="left" w:leader="none"/>
        </w:tabs>
        <w:spacing w:line="231" w:lineRule="exact" w:before="0" w:after="0"/>
        <w:ind w:left="2260" w:right="0" w:hanging="720"/>
        <w:jc w:val="left"/>
        <w:rPr>
          <w:sz w:val="24"/>
        </w:rPr>
      </w:pPr>
      <w:r>
        <w:rPr>
          <w:rFonts w:ascii="Arial" w:hAnsi="Arial"/>
          <w:sz w:val="24"/>
        </w:rPr>
        <w:t>G</w:t>
        <w:tab/>
      </w:r>
      <w:r>
        <w:rPr>
          <w:sz w:val="24"/>
        </w:rPr>
        <w:t>Plaintiff or Plaintiff’s attorney did not sign the affidavit of</w:t>
      </w:r>
      <w:r>
        <w:rPr>
          <w:spacing w:val="-15"/>
          <w:sz w:val="24"/>
        </w:rPr>
        <w:t> </w:t>
      </w:r>
      <w:r>
        <w:rPr>
          <w:sz w:val="24"/>
        </w:rPr>
        <w:t>mailing.</w:t>
      </w:r>
    </w:p>
    <w:p>
      <w:pPr>
        <w:pStyle w:val="ListParagraph"/>
        <w:numPr>
          <w:ilvl w:val="2"/>
          <w:numId w:val="3"/>
        </w:numPr>
        <w:tabs>
          <w:tab w:pos="2259" w:val="left" w:leader="none"/>
          <w:tab w:pos="2260" w:val="left" w:leader="none"/>
          <w:tab w:pos="2979" w:val="left" w:leader="none"/>
        </w:tabs>
        <w:spacing w:line="211" w:lineRule="auto" w:before="0" w:after="0"/>
        <w:ind w:left="2980" w:right="148" w:hanging="1440"/>
        <w:jc w:val="left"/>
        <w:rPr>
          <w:sz w:val="24"/>
        </w:rPr>
      </w:pPr>
      <w:r>
        <w:rPr>
          <w:rFonts w:ascii="Arial" w:hAnsi="Arial"/>
          <w:sz w:val="24"/>
        </w:rPr>
        <w:t>G</w:t>
        <w:tab/>
      </w:r>
      <w:r>
        <w:rPr>
          <w:sz w:val="24"/>
        </w:rPr>
        <w:t>Plaintiff or Plaintiff’s attorney did not sign the affidavit of</w:t>
      </w:r>
      <w:r>
        <w:rPr>
          <w:spacing w:val="-26"/>
          <w:sz w:val="24"/>
        </w:rPr>
        <w:t> </w:t>
      </w:r>
      <w:r>
        <w:rPr>
          <w:sz w:val="24"/>
        </w:rPr>
        <w:t>Plaintiff stating I could not be found or was not in the</w:t>
      </w:r>
      <w:r>
        <w:rPr>
          <w:spacing w:val="-8"/>
          <w:sz w:val="24"/>
        </w:rPr>
        <w:t> </w:t>
      </w:r>
      <w:r>
        <w:rPr>
          <w:sz w:val="24"/>
        </w:rPr>
        <w:t>state.</w:t>
      </w:r>
    </w:p>
    <w:p>
      <w:pPr>
        <w:pStyle w:val="BodyText"/>
        <w:spacing w:before="8"/>
        <w:rPr>
          <w:sz w:val="20"/>
        </w:rPr>
      </w:pPr>
    </w:p>
    <w:p>
      <w:pPr>
        <w:pStyle w:val="ListParagraph"/>
        <w:numPr>
          <w:ilvl w:val="1"/>
          <w:numId w:val="3"/>
        </w:numPr>
        <w:tabs>
          <w:tab w:pos="1208" w:val="left" w:leader="none"/>
          <w:tab w:pos="1209" w:val="left" w:leader="none"/>
        </w:tabs>
        <w:spacing w:line="211" w:lineRule="auto" w:before="0" w:after="0"/>
        <w:ind w:left="1540" w:right="171" w:hanging="720"/>
        <w:jc w:val="left"/>
        <w:rPr>
          <w:sz w:val="24"/>
        </w:rPr>
      </w:pPr>
      <w:r>
        <w:rPr>
          <w:rFonts w:ascii="Arial"/>
          <w:sz w:val="24"/>
        </w:rPr>
        <w:t>G </w:t>
      </w:r>
      <w:r>
        <w:rPr>
          <w:sz w:val="24"/>
        </w:rPr>
        <w:t>Hennepin and Ramsey Housing Courts: Plaintiff failed to file affidavits of </w:t>
      </w:r>
      <w:r>
        <w:rPr>
          <w:spacing w:val="-3"/>
          <w:sz w:val="24"/>
        </w:rPr>
        <w:t>service </w:t>
      </w:r>
      <w:r>
        <w:rPr>
          <w:sz w:val="24"/>
        </w:rPr>
        <w:t>by 3:00 p.m., three </w:t>
      </w:r>
      <w:r>
        <w:rPr>
          <w:spacing w:val="-3"/>
          <w:sz w:val="24"/>
        </w:rPr>
        <w:t>days </w:t>
      </w:r>
      <w:r>
        <w:rPr>
          <w:sz w:val="24"/>
        </w:rPr>
        <w:t>before the hearing, excluding intervening Saturdays, Sundays or legal holidays. Minn. Gen. R. Prac.</w:t>
      </w:r>
      <w:r>
        <w:rPr>
          <w:spacing w:val="-3"/>
          <w:sz w:val="24"/>
        </w:rPr>
        <w:t> </w:t>
      </w:r>
      <w:r>
        <w:rPr>
          <w:sz w:val="24"/>
        </w:rPr>
        <w:t>605.</w:t>
      </w:r>
    </w:p>
    <w:p>
      <w:pPr>
        <w:pStyle w:val="BodyText"/>
        <w:spacing w:before="1"/>
        <w:rPr>
          <w:sz w:val="21"/>
        </w:rPr>
      </w:pPr>
    </w:p>
    <w:p>
      <w:pPr>
        <w:pStyle w:val="ListParagraph"/>
        <w:numPr>
          <w:ilvl w:val="1"/>
          <w:numId w:val="3"/>
        </w:numPr>
        <w:tabs>
          <w:tab w:pos="1208" w:val="left" w:leader="none"/>
          <w:tab w:pos="1209" w:val="left" w:leader="none"/>
        </w:tabs>
        <w:spacing w:line="213" w:lineRule="auto" w:before="0" w:after="0"/>
        <w:ind w:left="1540" w:right="99" w:hanging="720"/>
        <w:jc w:val="left"/>
        <w:rPr>
          <w:sz w:val="24"/>
        </w:rPr>
      </w:pPr>
      <w:r>
        <w:rPr>
          <w:rFonts w:ascii="Arial" w:hAnsi="Arial"/>
          <w:sz w:val="24"/>
        </w:rPr>
        <w:t>G </w:t>
      </w:r>
      <w:r>
        <w:rPr>
          <w:sz w:val="24"/>
        </w:rPr>
        <w:t>Plaintiff filed an expedited case. The court papers were not served within 24 </w:t>
      </w:r>
      <w:r>
        <w:rPr>
          <w:spacing w:val="-4"/>
          <w:sz w:val="24"/>
        </w:rPr>
        <w:t>hours </w:t>
      </w:r>
      <w:r>
        <w:rPr>
          <w:sz w:val="24"/>
        </w:rPr>
        <w:t>after the summons was issued. Minn. Stat. § 504B.321 (formerly §</w:t>
      </w:r>
      <w:r>
        <w:rPr>
          <w:spacing w:val="-13"/>
          <w:sz w:val="24"/>
        </w:rPr>
        <w:t> </w:t>
      </w:r>
      <w:r>
        <w:rPr>
          <w:sz w:val="24"/>
        </w:rPr>
        <w:t>566.05).</w:t>
      </w:r>
    </w:p>
    <w:p>
      <w:pPr>
        <w:pStyle w:val="ListParagraph"/>
        <w:numPr>
          <w:ilvl w:val="1"/>
          <w:numId w:val="3"/>
        </w:numPr>
        <w:tabs>
          <w:tab w:pos="1208" w:val="left" w:leader="none"/>
          <w:tab w:pos="1209" w:val="left" w:leader="none"/>
          <w:tab w:pos="9293" w:val="left" w:leader="none"/>
        </w:tabs>
        <w:spacing w:line="240" w:lineRule="auto" w:before="215" w:after="0"/>
        <w:ind w:left="1208" w:right="0" w:hanging="389"/>
        <w:jc w:val="left"/>
        <w:rPr>
          <w:sz w:val="24"/>
        </w:rPr>
      </w:pPr>
      <w:r>
        <w:rPr>
          <w:rFonts w:ascii="Arial"/>
          <w:sz w:val="24"/>
        </w:rPr>
        <w:t>G </w:t>
      </w:r>
      <w:r>
        <w:rPr>
          <w:rFonts w:ascii="Arial"/>
          <w:spacing w:val="10"/>
          <w:sz w:val="24"/>
        </w:rPr>
        <w:t> </w:t>
      </w:r>
      <w:r>
        <w:rPr>
          <w:sz w:val="24"/>
        </w:rPr>
        <w:t>Other:</w:t>
      </w:r>
      <w:r>
        <w:rPr>
          <w:sz w:val="24"/>
          <w:u w:val="single"/>
        </w:rPr>
        <w:t> </w:t>
        <w:tab/>
      </w:r>
      <w:r>
        <w:rPr>
          <w:sz w:val="24"/>
        </w:rPr>
        <w:t>.</w:t>
      </w:r>
    </w:p>
    <w:p>
      <w:pPr>
        <w:pStyle w:val="BodyText"/>
        <w:spacing w:before="9"/>
        <w:rPr>
          <w:sz w:val="18"/>
        </w:rPr>
      </w:pPr>
    </w:p>
    <w:p>
      <w:pPr>
        <w:pStyle w:val="Heading1"/>
        <w:numPr>
          <w:ilvl w:val="0"/>
          <w:numId w:val="3"/>
        </w:numPr>
        <w:tabs>
          <w:tab w:pos="819" w:val="left" w:leader="none"/>
          <w:tab w:pos="820" w:val="left" w:leader="none"/>
        </w:tabs>
        <w:spacing w:line="240" w:lineRule="auto" w:before="0" w:after="0"/>
        <w:ind w:left="820" w:right="0" w:hanging="720"/>
        <w:jc w:val="left"/>
      </w:pPr>
      <w:r>
        <w:rPr/>
        <w:t>PRECONDITIONS FOR RECOVERY OF THE</w:t>
      </w:r>
      <w:r>
        <w:rPr>
          <w:spacing w:val="-5"/>
        </w:rPr>
        <w:t> </w:t>
      </w:r>
      <w:r>
        <w:rPr/>
        <w:t>PREMISES</w:t>
      </w:r>
    </w:p>
    <w:p>
      <w:pPr>
        <w:pStyle w:val="BodyText"/>
        <w:spacing w:before="3"/>
        <w:rPr>
          <w:b/>
          <w:sz w:val="20"/>
        </w:rPr>
      </w:pPr>
    </w:p>
    <w:p>
      <w:pPr>
        <w:pStyle w:val="ListParagraph"/>
        <w:numPr>
          <w:ilvl w:val="1"/>
          <w:numId w:val="3"/>
        </w:numPr>
        <w:tabs>
          <w:tab w:pos="1208" w:val="left" w:leader="none"/>
          <w:tab w:pos="1209" w:val="left" w:leader="none"/>
        </w:tabs>
        <w:spacing w:line="211" w:lineRule="auto" w:before="0" w:after="0"/>
        <w:ind w:left="1540" w:right="390" w:hanging="720"/>
        <w:jc w:val="left"/>
        <w:rPr>
          <w:sz w:val="24"/>
        </w:rPr>
      </w:pPr>
      <w:r>
        <w:rPr>
          <w:rFonts w:ascii="Arial"/>
          <w:sz w:val="24"/>
        </w:rPr>
        <w:t>G </w:t>
      </w:r>
      <w:r>
        <w:rPr>
          <w:sz w:val="24"/>
        </w:rPr>
        <w:t>Plaintiff is not the person entitled to possession of the building or an </w:t>
      </w:r>
      <w:r>
        <w:rPr>
          <w:spacing w:val="-3"/>
          <w:sz w:val="24"/>
        </w:rPr>
        <w:t>authorized </w:t>
      </w:r>
      <w:r>
        <w:rPr>
          <w:sz w:val="24"/>
        </w:rPr>
        <w:t>management</w:t>
      </w:r>
      <w:r>
        <w:rPr>
          <w:spacing w:val="-1"/>
          <w:sz w:val="24"/>
        </w:rPr>
        <w:t> </w:t>
      </w:r>
      <w:r>
        <w:rPr>
          <w:sz w:val="24"/>
        </w:rPr>
        <w:t>agent.</w:t>
      </w:r>
    </w:p>
    <w:p>
      <w:pPr>
        <w:pStyle w:val="BodyText"/>
        <w:tabs>
          <w:tab w:pos="2259" w:val="left" w:leader="none"/>
          <w:tab w:pos="2979" w:val="left" w:leader="none"/>
        </w:tabs>
        <w:spacing w:line="261" w:lineRule="exact" w:before="216"/>
        <w:ind w:left="1540"/>
      </w:pPr>
      <w:r>
        <w:rPr/>
        <w:t>a.</w:t>
        <w:tab/>
      </w:r>
      <w:r>
        <w:rPr>
          <w:rFonts w:ascii="Arial" w:hAnsi="Arial"/>
        </w:rPr>
        <w:t>G</w:t>
        <w:tab/>
      </w:r>
      <w:r>
        <w:rPr/>
        <w:t>Minn. Stat. § 481.02, subd. 3(13).</w:t>
      </w:r>
    </w:p>
    <w:p>
      <w:pPr>
        <w:pStyle w:val="BodyText"/>
        <w:tabs>
          <w:tab w:pos="2259" w:val="left" w:leader="none"/>
          <w:tab w:pos="2979" w:val="left" w:leader="none"/>
        </w:tabs>
        <w:spacing w:line="261" w:lineRule="exact"/>
        <w:ind w:left="1540"/>
      </w:pPr>
      <w:r>
        <w:rPr/>
        <w:t>b.</w:t>
        <w:tab/>
      </w:r>
      <w:r>
        <w:rPr>
          <w:rFonts w:ascii="Arial"/>
        </w:rPr>
        <w:t>G</w:t>
        <w:tab/>
      </w:r>
      <w:r>
        <w:rPr/>
        <w:t>Hennepin and Ramsey Housing Courts: Minn. Gen. R. Prac.</w:t>
      </w:r>
      <w:r>
        <w:rPr>
          <w:spacing w:val="-14"/>
        </w:rPr>
        <w:t> </w:t>
      </w:r>
      <w:r>
        <w:rPr/>
        <w:t>603.</w:t>
      </w:r>
    </w:p>
    <w:p>
      <w:pPr>
        <w:pStyle w:val="BodyText"/>
        <w:spacing w:before="7"/>
        <w:rPr>
          <w:sz w:val="20"/>
        </w:rPr>
      </w:pPr>
    </w:p>
    <w:p>
      <w:pPr>
        <w:pStyle w:val="ListParagraph"/>
        <w:numPr>
          <w:ilvl w:val="1"/>
          <w:numId w:val="3"/>
        </w:numPr>
        <w:tabs>
          <w:tab w:pos="1208" w:val="left" w:leader="none"/>
          <w:tab w:pos="1209" w:val="left" w:leader="none"/>
        </w:tabs>
        <w:spacing w:line="211" w:lineRule="auto" w:before="0" w:after="0"/>
        <w:ind w:left="1540" w:right="714" w:hanging="720"/>
        <w:jc w:val="left"/>
        <w:rPr>
          <w:sz w:val="24"/>
        </w:rPr>
      </w:pPr>
      <w:r>
        <w:rPr>
          <w:rFonts w:ascii="Arial"/>
          <w:sz w:val="24"/>
        </w:rPr>
        <w:t>G </w:t>
      </w:r>
      <w:r>
        <w:rPr>
          <w:sz w:val="24"/>
        </w:rPr>
        <w:t>The person appearing on behalf of Plaintiff does not have a proper Power </w:t>
      </w:r>
      <w:r>
        <w:rPr>
          <w:spacing w:val="-8"/>
          <w:sz w:val="24"/>
        </w:rPr>
        <w:t>of </w:t>
      </w:r>
      <w:r>
        <w:rPr>
          <w:sz w:val="24"/>
        </w:rPr>
        <w:t>Authority.</w:t>
      </w:r>
    </w:p>
    <w:p>
      <w:pPr>
        <w:pStyle w:val="BodyText"/>
        <w:spacing w:before="1"/>
        <w:rPr>
          <w:sz w:val="21"/>
        </w:rPr>
      </w:pPr>
    </w:p>
    <w:p>
      <w:pPr>
        <w:pStyle w:val="ListParagraph"/>
        <w:numPr>
          <w:ilvl w:val="2"/>
          <w:numId w:val="3"/>
        </w:numPr>
        <w:tabs>
          <w:tab w:pos="2259" w:val="left" w:leader="none"/>
          <w:tab w:pos="2260" w:val="left" w:leader="none"/>
          <w:tab w:pos="2979" w:val="left" w:leader="none"/>
        </w:tabs>
        <w:spacing w:line="211" w:lineRule="auto" w:before="0" w:after="0"/>
        <w:ind w:left="2980" w:right="229" w:hanging="1440"/>
        <w:jc w:val="left"/>
        <w:rPr>
          <w:sz w:val="24"/>
        </w:rPr>
      </w:pPr>
      <w:r>
        <w:rPr>
          <w:rFonts w:ascii="Arial"/>
          <w:sz w:val="24"/>
        </w:rPr>
        <w:t>G</w:t>
        <w:tab/>
      </w:r>
      <w:r>
        <w:rPr>
          <w:sz w:val="24"/>
        </w:rPr>
        <w:t>The person may not engage in the unauthorized practice of law.</w:t>
      </w:r>
      <w:r>
        <w:rPr>
          <w:spacing w:val="-25"/>
          <w:sz w:val="24"/>
        </w:rPr>
        <w:t> </w:t>
      </w:r>
      <w:r>
        <w:rPr>
          <w:i/>
          <w:spacing w:val="-7"/>
          <w:sz w:val="24"/>
        </w:rPr>
        <w:t>In </w:t>
      </w:r>
      <w:r>
        <w:rPr>
          <w:i/>
          <w:sz w:val="24"/>
        </w:rPr>
        <w:t>re the Conservatorship of Riebel</w:t>
      </w:r>
      <w:r>
        <w:rPr>
          <w:sz w:val="24"/>
        </w:rPr>
        <w:t>, 625 N.W.2d 480, 483 (Minn. 2001).</w:t>
      </w:r>
    </w:p>
    <w:p>
      <w:pPr>
        <w:pStyle w:val="ListParagraph"/>
        <w:numPr>
          <w:ilvl w:val="2"/>
          <w:numId w:val="3"/>
        </w:numPr>
        <w:tabs>
          <w:tab w:pos="2259" w:val="left" w:leader="none"/>
          <w:tab w:pos="2260" w:val="left" w:leader="none"/>
          <w:tab w:pos="3039" w:val="left" w:leader="none"/>
        </w:tabs>
        <w:spacing w:line="253" w:lineRule="exact" w:before="0" w:after="0"/>
        <w:ind w:left="2260" w:right="0" w:hanging="720"/>
        <w:jc w:val="left"/>
        <w:rPr>
          <w:sz w:val="24"/>
        </w:rPr>
      </w:pPr>
      <w:r>
        <w:rPr>
          <w:rFonts w:ascii="Arial"/>
          <w:sz w:val="24"/>
        </w:rPr>
        <w:t>G</w:t>
        <w:tab/>
      </w:r>
      <w:r>
        <w:rPr>
          <w:sz w:val="24"/>
        </w:rPr>
        <w:t>Hennepin and Ramsey Housing Courts: Minn. Gen. R. Prac.</w:t>
      </w:r>
      <w:r>
        <w:rPr>
          <w:spacing w:val="-14"/>
          <w:sz w:val="24"/>
        </w:rPr>
        <w:t> </w:t>
      </w:r>
      <w:r>
        <w:rPr>
          <w:sz w:val="24"/>
        </w:rPr>
        <w:t>603.</w:t>
      </w:r>
    </w:p>
    <w:p>
      <w:pPr>
        <w:spacing w:after="0" w:line="253" w:lineRule="exact"/>
        <w:jc w:val="left"/>
        <w:rPr>
          <w:sz w:val="24"/>
        </w:rPr>
        <w:sectPr>
          <w:pgSz w:w="12240" w:h="15840"/>
          <w:pgMar w:header="0" w:footer="1121" w:top="1040" w:bottom="1320" w:left="1340" w:right="1340"/>
        </w:sectPr>
      </w:pPr>
    </w:p>
    <w:tbl>
      <w:tblPr>
        <w:tblW w:w="0" w:type="auto"/>
        <w:jc w:val="left"/>
        <w:tblInd w:w="2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0"/>
        <w:gridCol w:w="686"/>
        <w:gridCol w:w="6014"/>
      </w:tblGrid>
      <w:tr>
        <w:trPr>
          <w:trHeight w:val="253" w:hRule="atLeast"/>
        </w:trPr>
        <w:tc>
          <w:tcPr>
            <w:tcW w:w="540" w:type="dxa"/>
          </w:tcPr>
          <w:p>
            <w:pPr>
              <w:pStyle w:val="TableParagraph"/>
              <w:spacing w:line="233" w:lineRule="exact"/>
              <w:ind w:left="50"/>
              <w:rPr>
                <w:sz w:val="24"/>
              </w:rPr>
            </w:pPr>
            <w:r>
              <w:rPr>
                <w:sz w:val="24"/>
              </w:rPr>
              <w:t>I.</w:t>
            </w:r>
          </w:p>
        </w:tc>
        <w:tc>
          <w:tcPr>
            <w:tcW w:w="686" w:type="dxa"/>
          </w:tcPr>
          <w:p>
            <w:pPr>
              <w:pStyle w:val="TableParagraph"/>
              <w:spacing w:line="233" w:lineRule="exact"/>
              <w:ind w:left="230"/>
              <w:rPr>
                <w:rFonts w:ascii="Arial"/>
                <w:sz w:val="24"/>
              </w:rPr>
            </w:pPr>
            <w:r>
              <w:rPr>
                <w:rFonts w:ascii="Arial"/>
                <w:w w:val="102"/>
                <w:sz w:val="24"/>
              </w:rPr>
              <w:t>G</w:t>
            </w:r>
          </w:p>
        </w:tc>
        <w:tc>
          <w:tcPr>
            <w:tcW w:w="6014" w:type="dxa"/>
          </w:tcPr>
          <w:p>
            <w:pPr>
              <w:pStyle w:val="TableParagraph"/>
              <w:spacing w:line="233" w:lineRule="exact"/>
              <w:ind w:left="263"/>
              <w:rPr>
                <w:sz w:val="24"/>
              </w:rPr>
            </w:pPr>
            <w:r>
              <w:rPr>
                <w:sz w:val="24"/>
              </w:rPr>
              <w:t>The person suing on behalf of Plaintiff did not file a Power</w:t>
            </w:r>
          </w:p>
        </w:tc>
      </w:tr>
      <w:tr>
        <w:trPr>
          <w:trHeight w:val="237" w:hRule="atLeast"/>
        </w:trPr>
        <w:tc>
          <w:tcPr>
            <w:tcW w:w="540" w:type="dxa"/>
          </w:tcPr>
          <w:p>
            <w:pPr>
              <w:pStyle w:val="TableParagraph"/>
              <w:rPr>
                <w:sz w:val="16"/>
              </w:rPr>
            </w:pPr>
          </w:p>
        </w:tc>
        <w:tc>
          <w:tcPr>
            <w:tcW w:w="686" w:type="dxa"/>
          </w:tcPr>
          <w:p>
            <w:pPr>
              <w:pStyle w:val="TableParagraph"/>
              <w:rPr>
                <w:sz w:val="16"/>
              </w:rPr>
            </w:pPr>
          </w:p>
        </w:tc>
        <w:tc>
          <w:tcPr>
            <w:tcW w:w="6014" w:type="dxa"/>
          </w:tcPr>
          <w:p>
            <w:pPr>
              <w:pStyle w:val="TableParagraph"/>
              <w:spacing w:line="218" w:lineRule="exact"/>
              <w:ind w:left="263"/>
              <w:rPr>
                <w:sz w:val="24"/>
              </w:rPr>
            </w:pPr>
            <w:r>
              <w:rPr>
                <w:sz w:val="24"/>
              </w:rPr>
              <w:t>of Authority.</w:t>
            </w:r>
          </w:p>
        </w:tc>
      </w:tr>
      <w:tr>
        <w:trPr>
          <w:trHeight w:val="249" w:hRule="atLeast"/>
        </w:trPr>
        <w:tc>
          <w:tcPr>
            <w:tcW w:w="540" w:type="dxa"/>
          </w:tcPr>
          <w:p>
            <w:pPr>
              <w:pStyle w:val="TableParagraph"/>
              <w:spacing w:line="230" w:lineRule="exact"/>
              <w:ind w:left="50"/>
              <w:rPr>
                <w:sz w:val="24"/>
              </w:rPr>
            </w:pPr>
            <w:r>
              <w:rPr>
                <w:sz w:val="24"/>
              </w:rPr>
              <w:t>ii.</w:t>
            </w:r>
          </w:p>
        </w:tc>
        <w:tc>
          <w:tcPr>
            <w:tcW w:w="686" w:type="dxa"/>
          </w:tcPr>
          <w:p>
            <w:pPr>
              <w:pStyle w:val="TableParagraph"/>
              <w:spacing w:line="230" w:lineRule="exact"/>
              <w:ind w:left="230"/>
              <w:rPr>
                <w:rFonts w:ascii="Arial"/>
                <w:sz w:val="24"/>
              </w:rPr>
            </w:pPr>
            <w:r>
              <w:rPr>
                <w:rFonts w:ascii="Arial"/>
                <w:w w:val="102"/>
                <w:sz w:val="24"/>
              </w:rPr>
              <w:t>G</w:t>
            </w:r>
          </w:p>
        </w:tc>
        <w:tc>
          <w:tcPr>
            <w:tcW w:w="6014" w:type="dxa"/>
          </w:tcPr>
          <w:p>
            <w:pPr>
              <w:pStyle w:val="TableParagraph"/>
              <w:spacing w:line="230" w:lineRule="exact"/>
              <w:ind w:left="263"/>
              <w:rPr>
                <w:sz w:val="24"/>
              </w:rPr>
            </w:pPr>
            <w:r>
              <w:rPr>
                <w:sz w:val="24"/>
              </w:rPr>
              <w:t>The Power of Authority was not properly executed:</w:t>
            </w:r>
          </w:p>
        </w:tc>
      </w:tr>
      <w:tr>
        <w:trPr>
          <w:trHeight w:val="237" w:hRule="atLeast"/>
        </w:trPr>
        <w:tc>
          <w:tcPr>
            <w:tcW w:w="540" w:type="dxa"/>
          </w:tcPr>
          <w:p>
            <w:pPr>
              <w:pStyle w:val="TableParagraph"/>
              <w:rPr>
                <w:sz w:val="16"/>
              </w:rPr>
            </w:pPr>
          </w:p>
        </w:tc>
        <w:tc>
          <w:tcPr>
            <w:tcW w:w="686" w:type="dxa"/>
          </w:tcPr>
          <w:p>
            <w:pPr>
              <w:pStyle w:val="TableParagraph"/>
              <w:rPr>
                <w:sz w:val="16"/>
              </w:rPr>
            </w:pPr>
          </w:p>
        </w:tc>
        <w:tc>
          <w:tcPr>
            <w:tcW w:w="6014" w:type="dxa"/>
          </w:tcPr>
          <w:p>
            <w:pPr>
              <w:pStyle w:val="TableParagraph"/>
              <w:tabs>
                <w:tab w:pos="5903" w:val="left" w:leader="none"/>
              </w:tabs>
              <w:spacing w:line="218" w:lineRule="exact"/>
              <w:ind w:left="263"/>
              <w:rPr>
                <w:sz w:val="24"/>
              </w:rPr>
            </w:pPr>
            <w:r>
              <w:rPr>
                <w:sz w:val="24"/>
                <w:u w:val="single"/>
              </w:rPr>
              <w:t> </w:t>
              <w:tab/>
            </w:r>
            <w:r>
              <w:rPr>
                <w:sz w:val="24"/>
              </w:rPr>
              <w:t>.</w:t>
            </w:r>
          </w:p>
        </w:tc>
      </w:tr>
      <w:tr>
        <w:trPr>
          <w:trHeight w:val="249" w:hRule="atLeast"/>
        </w:trPr>
        <w:tc>
          <w:tcPr>
            <w:tcW w:w="540" w:type="dxa"/>
          </w:tcPr>
          <w:p>
            <w:pPr>
              <w:pStyle w:val="TableParagraph"/>
              <w:spacing w:line="230" w:lineRule="exact"/>
              <w:ind w:left="50"/>
              <w:rPr>
                <w:sz w:val="24"/>
              </w:rPr>
            </w:pPr>
            <w:r>
              <w:rPr>
                <w:sz w:val="24"/>
              </w:rPr>
              <w:t>iii.</w:t>
            </w:r>
          </w:p>
        </w:tc>
        <w:tc>
          <w:tcPr>
            <w:tcW w:w="686" w:type="dxa"/>
          </w:tcPr>
          <w:p>
            <w:pPr>
              <w:pStyle w:val="TableParagraph"/>
              <w:spacing w:line="230" w:lineRule="exact"/>
              <w:ind w:left="230"/>
              <w:rPr>
                <w:rFonts w:ascii="Arial"/>
                <w:sz w:val="24"/>
              </w:rPr>
            </w:pPr>
            <w:r>
              <w:rPr>
                <w:rFonts w:ascii="Arial"/>
                <w:w w:val="102"/>
                <w:sz w:val="24"/>
              </w:rPr>
              <w:t>G</w:t>
            </w:r>
          </w:p>
        </w:tc>
        <w:tc>
          <w:tcPr>
            <w:tcW w:w="6014" w:type="dxa"/>
          </w:tcPr>
          <w:p>
            <w:pPr>
              <w:pStyle w:val="TableParagraph"/>
              <w:spacing w:line="230" w:lineRule="exact"/>
              <w:ind w:left="263"/>
              <w:rPr>
                <w:sz w:val="24"/>
              </w:rPr>
            </w:pPr>
            <w:r>
              <w:rPr>
                <w:sz w:val="24"/>
              </w:rPr>
              <w:t>Plaintiff filed a Power of Attorney not specific to this case,</w:t>
            </w:r>
          </w:p>
        </w:tc>
      </w:tr>
      <w:tr>
        <w:trPr>
          <w:trHeight w:val="241" w:hRule="atLeast"/>
        </w:trPr>
        <w:tc>
          <w:tcPr>
            <w:tcW w:w="540" w:type="dxa"/>
          </w:tcPr>
          <w:p>
            <w:pPr>
              <w:pStyle w:val="TableParagraph"/>
              <w:rPr>
                <w:sz w:val="16"/>
              </w:rPr>
            </w:pPr>
          </w:p>
        </w:tc>
        <w:tc>
          <w:tcPr>
            <w:tcW w:w="686" w:type="dxa"/>
          </w:tcPr>
          <w:p>
            <w:pPr>
              <w:pStyle w:val="TableParagraph"/>
              <w:rPr>
                <w:sz w:val="16"/>
              </w:rPr>
            </w:pPr>
          </w:p>
        </w:tc>
        <w:tc>
          <w:tcPr>
            <w:tcW w:w="6014" w:type="dxa"/>
          </w:tcPr>
          <w:p>
            <w:pPr>
              <w:pStyle w:val="TableParagraph"/>
              <w:spacing w:line="221" w:lineRule="exact"/>
              <w:ind w:left="263"/>
              <w:rPr>
                <w:sz w:val="24"/>
              </w:rPr>
            </w:pPr>
            <w:r>
              <w:rPr>
                <w:sz w:val="24"/>
              </w:rPr>
              <w:t>not a Rule 603 Power of Authority.</w:t>
            </w:r>
          </w:p>
        </w:tc>
      </w:tr>
    </w:tbl>
    <w:p>
      <w:pPr>
        <w:pStyle w:val="BodyText"/>
        <w:spacing w:before="11"/>
        <w:rPr>
          <w:sz w:val="10"/>
        </w:rPr>
      </w:pPr>
    </w:p>
    <w:p>
      <w:pPr>
        <w:pStyle w:val="ListParagraph"/>
        <w:numPr>
          <w:ilvl w:val="1"/>
          <w:numId w:val="3"/>
        </w:numPr>
        <w:tabs>
          <w:tab w:pos="1208" w:val="left" w:leader="none"/>
          <w:tab w:pos="1209" w:val="left" w:leader="none"/>
        </w:tabs>
        <w:spacing w:line="211" w:lineRule="auto" w:before="96" w:after="0"/>
        <w:ind w:left="1540" w:right="98" w:hanging="720"/>
        <w:jc w:val="left"/>
        <w:rPr>
          <w:sz w:val="24"/>
        </w:rPr>
      </w:pPr>
      <w:r>
        <w:rPr>
          <w:rFonts w:ascii="Arial" w:hAnsi="Arial"/>
          <w:sz w:val="24"/>
        </w:rPr>
        <w:t>G  </w:t>
      </w:r>
      <w:r>
        <w:rPr>
          <w:sz w:val="24"/>
        </w:rPr>
        <w:t>Plaintiff, the landlord, the lessor, or the management company is a corporation or a similar entity and must be represented by an attorney to file a case or to appear otherwise in any Minnesota court. </w:t>
      </w:r>
      <w:r>
        <w:rPr>
          <w:i/>
          <w:sz w:val="24"/>
        </w:rPr>
        <w:t>Nicollet Restorations, Inc. v. Turnham</w:t>
      </w:r>
      <w:r>
        <w:rPr>
          <w:sz w:val="24"/>
        </w:rPr>
        <w:t>, 486 N.W.2d 753 (Minn. 1992); </w:t>
      </w:r>
      <w:r>
        <w:rPr>
          <w:i/>
          <w:sz w:val="24"/>
        </w:rPr>
        <w:t>301 Clifton Place, L.L.C. v. 301 Clifton Place Condo- minium Ass’n</w:t>
      </w:r>
      <w:r>
        <w:rPr>
          <w:sz w:val="24"/>
        </w:rPr>
        <w:t>, 783 N.W. 2d 551, 560-61 (Minn. Ct. App. 2010). </w:t>
      </w:r>
      <w:r>
        <w:rPr>
          <w:i/>
          <w:sz w:val="24"/>
        </w:rPr>
        <w:t>See </w:t>
      </w:r>
      <w:r>
        <w:rPr>
          <w:sz w:val="24"/>
        </w:rPr>
        <w:t>Order Promulgating Amendments to the Gen. Rules of Practice for the Dist. Courts, No. ADM09-8009, 2019 Minn. </w:t>
      </w:r>
      <w:r>
        <w:rPr>
          <w:spacing w:val="-3"/>
          <w:sz w:val="24"/>
        </w:rPr>
        <w:t>LEXIS </w:t>
      </w:r>
      <w:r>
        <w:rPr>
          <w:sz w:val="24"/>
        </w:rPr>
        <w:t>249 (Minn. May 13, 2019) (declined to amend Minn. Gen. R. Prac. 603 to allow agents to represent corporations, citing </w:t>
      </w:r>
      <w:r>
        <w:rPr>
          <w:i/>
          <w:sz w:val="24"/>
        </w:rPr>
        <w:t>Save </w:t>
      </w:r>
      <w:r>
        <w:rPr>
          <w:i/>
          <w:spacing w:val="-6"/>
          <w:sz w:val="24"/>
        </w:rPr>
        <w:t>Our </w:t>
      </w:r>
      <w:r>
        <w:rPr>
          <w:i/>
          <w:sz w:val="24"/>
        </w:rPr>
        <w:t>Creeks v. City of Brooklyn Park, </w:t>
      </w:r>
      <w:r>
        <w:rPr>
          <w:sz w:val="24"/>
        </w:rPr>
        <w:t>699 N.W.2d 307, 309 (Minn. 2005); Recommen- dations of Minnesota Supreme Court Advisory Committee on General Rules of Practice, </w:t>
      </w:r>
      <w:r>
        <w:rPr>
          <w:sz w:val="22"/>
        </w:rPr>
        <w:t>CX-89-1863, </w:t>
      </w:r>
      <w:r>
        <w:rPr>
          <w:sz w:val="24"/>
        </w:rPr>
        <w:t>Final Report, at 5 (Aug. 31, 2009) (rejected proposal to amend Minn. Gen. R. Prac. 603 to permit corporations to appear in district court eviction action without representation by a licensed attorney, citing </w:t>
      </w:r>
      <w:r>
        <w:rPr>
          <w:i/>
          <w:sz w:val="24"/>
        </w:rPr>
        <w:t>Nicollet Restoration, Inc. v.</w:t>
      </w:r>
      <w:r>
        <w:rPr>
          <w:i/>
          <w:spacing w:val="-1"/>
          <w:sz w:val="24"/>
        </w:rPr>
        <w:t> </w:t>
      </w:r>
      <w:r>
        <w:rPr>
          <w:i/>
          <w:sz w:val="24"/>
        </w:rPr>
        <w:t>Turnham</w:t>
      </w:r>
      <w:r>
        <w:rPr>
          <w:sz w:val="24"/>
        </w:rPr>
        <w:t>).</w:t>
      </w:r>
    </w:p>
    <w:p>
      <w:pPr>
        <w:pStyle w:val="BodyText"/>
        <w:spacing w:before="1"/>
        <w:rPr>
          <w:sz w:val="22"/>
        </w:rPr>
      </w:pPr>
    </w:p>
    <w:p>
      <w:pPr>
        <w:pStyle w:val="ListParagraph"/>
        <w:numPr>
          <w:ilvl w:val="1"/>
          <w:numId w:val="3"/>
        </w:numPr>
        <w:tabs>
          <w:tab w:pos="1208" w:val="left" w:leader="none"/>
          <w:tab w:pos="1209" w:val="left" w:leader="none"/>
        </w:tabs>
        <w:spacing w:line="211" w:lineRule="auto" w:before="1" w:after="0"/>
        <w:ind w:left="1540" w:right="914" w:hanging="720"/>
        <w:jc w:val="left"/>
        <w:rPr>
          <w:sz w:val="24"/>
        </w:rPr>
      </w:pPr>
      <w:r>
        <w:rPr>
          <w:rFonts w:ascii="Arial"/>
          <w:sz w:val="24"/>
        </w:rPr>
        <w:t>G </w:t>
      </w:r>
      <w:r>
        <w:rPr>
          <w:sz w:val="24"/>
        </w:rPr>
        <w:t>Plaintiff or Plaintiff's agent is engaging in unauthorized practice of law </w:t>
      </w:r>
      <w:r>
        <w:rPr>
          <w:spacing w:val="-6"/>
          <w:sz w:val="24"/>
        </w:rPr>
        <w:t>by </w:t>
      </w:r>
      <w:r>
        <w:rPr>
          <w:sz w:val="24"/>
        </w:rPr>
        <w:t>charging a separate fee for representing the owner in this case. Minn.</w:t>
      </w:r>
      <w:r>
        <w:rPr>
          <w:spacing w:val="-19"/>
          <w:sz w:val="24"/>
        </w:rPr>
        <w:t> </w:t>
      </w:r>
      <w:r>
        <w:rPr>
          <w:spacing w:val="-4"/>
          <w:sz w:val="24"/>
        </w:rPr>
        <w:t>Stat.</w:t>
      </w:r>
    </w:p>
    <w:p>
      <w:pPr>
        <w:pStyle w:val="BodyText"/>
        <w:spacing w:line="251" w:lineRule="exact"/>
        <w:ind w:left="1540"/>
      </w:pPr>
      <w:r>
        <w:rPr/>
        <w:t>§ 481.02, subd. 3(12-13).</w:t>
      </w:r>
    </w:p>
    <w:p>
      <w:pPr>
        <w:pStyle w:val="ListParagraph"/>
        <w:numPr>
          <w:ilvl w:val="1"/>
          <w:numId w:val="3"/>
        </w:numPr>
        <w:tabs>
          <w:tab w:pos="1208" w:val="left" w:leader="none"/>
          <w:tab w:pos="1209" w:val="left" w:leader="none"/>
        </w:tabs>
        <w:spacing w:line="240" w:lineRule="auto" w:before="210" w:after="0"/>
        <w:ind w:left="1208" w:right="0" w:hanging="389"/>
        <w:jc w:val="left"/>
        <w:rPr>
          <w:sz w:val="24"/>
        </w:rPr>
      </w:pPr>
      <w:r>
        <w:rPr>
          <w:rFonts w:ascii="Arial" w:hAnsi="Arial"/>
          <w:sz w:val="24"/>
        </w:rPr>
        <w:t>G </w:t>
      </w:r>
      <w:r>
        <w:rPr>
          <w:sz w:val="24"/>
        </w:rPr>
        <w:t>Principal and Address Disclosure. Minn. Stat. § 504B.181 (formerly</w:t>
      </w:r>
      <w:r>
        <w:rPr>
          <w:spacing w:val="-6"/>
          <w:sz w:val="24"/>
        </w:rPr>
        <w:t> </w:t>
      </w:r>
      <w:r>
        <w:rPr>
          <w:sz w:val="24"/>
        </w:rPr>
        <w:t>504.22).</w:t>
      </w:r>
    </w:p>
    <w:p>
      <w:pPr>
        <w:pStyle w:val="BodyText"/>
        <w:spacing w:before="7"/>
        <w:rPr>
          <w:sz w:val="20"/>
        </w:rPr>
      </w:pPr>
    </w:p>
    <w:p>
      <w:pPr>
        <w:pStyle w:val="ListParagraph"/>
        <w:numPr>
          <w:ilvl w:val="2"/>
          <w:numId w:val="3"/>
        </w:numPr>
        <w:tabs>
          <w:tab w:pos="2259" w:val="left" w:leader="none"/>
          <w:tab w:pos="2260" w:val="left" w:leader="none"/>
          <w:tab w:pos="2979" w:val="left" w:leader="none"/>
        </w:tabs>
        <w:spacing w:line="211" w:lineRule="auto" w:before="0" w:after="0"/>
        <w:ind w:left="2980" w:right="487" w:hanging="1440"/>
        <w:jc w:val="left"/>
        <w:rPr>
          <w:sz w:val="24"/>
        </w:rPr>
      </w:pPr>
      <w:r>
        <w:rPr>
          <w:rFonts w:ascii="Arial"/>
          <w:sz w:val="24"/>
        </w:rPr>
        <w:t>G</w:t>
        <w:tab/>
      </w:r>
      <w:r>
        <w:rPr>
          <w:sz w:val="24"/>
        </w:rPr>
        <w:t>I did not know the names of the manager of the building and person authorized to accept service of process, and addresses </w:t>
      </w:r>
      <w:r>
        <w:rPr>
          <w:spacing w:val="-9"/>
          <w:sz w:val="24"/>
        </w:rPr>
        <w:t>at </w:t>
      </w:r>
      <w:r>
        <w:rPr>
          <w:sz w:val="24"/>
        </w:rPr>
        <w:t>which they could be served 30 </w:t>
      </w:r>
      <w:r>
        <w:rPr>
          <w:spacing w:val="-3"/>
          <w:sz w:val="24"/>
        </w:rPr>
        <w:t>days </w:t>
      </w:r>
      <w:r>
        <w:rPr>
          <w:sz w:val="24"/>
        </w:rPr>
        <w:t>before filing this</w:t>
      </w:r>
      <w:r>
        <w:rPr>
          <w:spacing w:val="-12"/>
          <w:sz w:val="24"/>
        </w:rPr>
        <w:t> </w:t>
      </w:r>
      <w:r>
        <w:rPr>
          <w:sz w:val="24"/>
        </w:rPr>
        <w:t>case.</w:t>
      </w:r>
    </w:p>
    <w:p>
      <w:pPr>
        <w:pStyle w:val="ListParagraph"/>
        <w:numPr>
          <w:ilvl w:val="2"/>
          <w:numId w:val="3"/>
        </w:numPr>
        <w:tabs>
          <w:tab w:pos="2260" w:val="left" w:leader="none"/>
        </w:tabs>
        <w:spacing w:line="211" w:lineRule="auto" w:before="0" w:after="0"/>
        <w:ind w:left="2980" w:right="209" w:hanging="1440"/>
        <w:jc w:val="both"/>
        <w:rPr>
          <w:sz w:val="24"/>
        </w:rPr>
      </w:pPr>
      <w:r>
        <w:rPr>
          <w:rFonts w:ascii="Arial"/>
          <w:sz w:val="24"/>
        </w:rPr>
        <w:t>G </w:t>
      </w:r>
      <w:r>
        <w:rPr>
          <w:sz w:val="24"/>
        </w:rPr>
        <w:t>I did not know the identity of the principal of the property. </w:t>
      </w:r>
      <w:r>
        <w:rPr>
          <w:i/>
          <w:spacing w:val="-3"/>
          <w:sz w:val="24"/>
        </w:rPr>
        <w:t>Trilogy </w:t>
      </w:r>
      <w:r>
        <w:rPr>
          <w:i/>
          <w:sz w:val="24"/>
        </w:rPr>
        <w:t>Properties of MN LLC v. Gilmer</w:t>
      </w:r>
      <w:r>
        <w:rPr>
          <w:sz w:val="24"/>
        </w:rPr>
        <w:t>, No. 27-CV-HC-11-7635 (Minn. Dist. Ct. 4th Dist. Dec. 16, 2011).</w:t>
      </w:r>
    </w:p>
    <w:p>
      <w:pPr>
        <w:pStyle w:val="BodyText"/>
        <w:spacing w:before="3"/>
        <w:rPr>
          <w:sz w:val="21"/>
        </w:rPr>
      </w:pPr>
    </w:p>
    <w:p>
      <w:pPr>
        <w:pStyle w:val="ListParagraph"/>
        <w:numPr>
          <w:ilvl w:val="1"/>
          <w:numId w:val="3"/>
        </w:numPr>
        <w:tabs>
          <w:tab w:pos="1208" w:val="left" w:leader="none"/>
          <w:tab w:pos="1209" w:val="left" w:leader="none"/>
        </w:tabs>
        <w:spacing w:line="211" w:lineRule="auto" w:before="0" w:after="0"/>
        <w:ind w:left="1540" w:right="135" w:hanging="720"/>
        <w:jc w:val="left"/>
        <w:rPr>
          <w:sz w:val="24"/>
        </w:rPr>
      </w:pPr>
      <w:r>
        <w:rPr>
          <w:rFonts w:ascii="Arial" w:hAnsi="Arial"/>
          <w:sz w:val="24"/>
        </w:rPr>
        <w:t>G </w:t>
      </w:r>
      <w:r>
        <w:rPr>
          <w:sz w:val="24"/>
        </w:rPr>
        <w:t>Plaintiff, the landlord, the lessor, or the management company is a business </w:t>
      </w:r>
      <w:r>
        <w:rPr>
          <w:spacing w:val="-4"/>
          <w:sz w:val="24"/>
        </w:rPr>
        <w:t>which </w:t>
      </w:r>
      <w:r>
        <w:rPr>
          <w:sz w:val="24"/>
        </w:rPr>
        <w:t>did not comply with the Secretary of State trade name registration statutes, entitling me to $250.00 in costs or by set off. Minn. Stat. §§</w:t>
      </w:r>
      <w:r>
        <w:rPr>
          <w:spacing w:val="-9"/>
          <w:sz w:val="24"/>
        </w:rPr>
        <w:t> </w:t>
      </w:r>
      <w:r>
        <w:rPr>
          <w:sz w:val="24"/>
        </w:rPr>
        <w:t>333.001-333.06.</w:t>
      </w:r>
    </w:p>
    <w:p>
      <w:pPr>
        <w:pStyle w:val="BodyText"/>
        <w:spacing w:before="1"/>
        <w:rPr>
          <w:sz w:val="21"/>
        </w:rPr>
      </w:pPr>
    </w:p>
    <w:p>
      <w:pPr>
        <w:pStyle w:val="ListParagraph"/>
        <w:numPr>
          <w:ilvl w:val="1"/>
          <w:numId w:val="3"/>
        </w:numPr>
        <w:tabs>
          <w:tab w:pos="1208" w:val="left" w:leader="none"/>
          <w:tab w:pos="1209" w:val="left" w:leader="none"/>
        </w:tabs>
        <w:spacing w:line="213" w:lineRule="auto" w:before="0" w:after="0"/>
        <w:ind w:left="1540" w:right="642" w:hanging="720"/>
        <w:jc w:val="left"/>
        <w:rPr>
          <w:sz w:val="24"/>
        </w:rPr>
      </w:pPr>
      <w:r>
        <w:rPr>
          <w:rFonts w:ascii="Arial"/>
          <w:sz w:val="24"/>
        </w:rPr>
        <w:t>G </w:t>
      </w:r>
      <w:r>
        <w:rPr>
          <w:sz w:val="24"/>
        </w:rPr>
        <w:t>Plaintiff failed to state the facts which authorize recovery of the premises, </w:t>
      </w:r>
      <w:r>
        <w:rPr>
          <w:spacing w:val="-7"/>
          <w:sz w:val="24"/>
        </w:rPr>
        <w:t>by </w:t>
      </w:r>
      <w:r>
        <w:rPr>
          <w:sz w:val="24"/>
        </w:rPr>
        <w:t>failing to</w:t>
      </w:r>
      <w:r>
        <w:rPr>
          <w:spacing w:val="-3"/>
          <w:sz w:val="24"/>
        </w:rPr>
        <w:t> </w:t>
      </w:r>
      <w:r>
        <w:rPr>
          <w:sz w:val="24"/>
        </w:rPr>
        <w:t>state:</w:t>
      </w:r>
    </w:p>
    <w:p>
      <w:pPr>
        <w:pStyle w:val="BodyText"/>
        <w:tabs>
          <w:tab w:pos="9099" w:val="left" w:leader="none"/>
        </w:tabs>
        <w:spacing w:line="231" w:lineRule="exact"/>
        <w:ind w:left="1540"/>
      </w:pPr>
      <w:r>
        <w:rPr>
          <w:u w:val="single"/>
        </w:rPr>
        <w:t> </w:t>
        <w:tab/>
      </w:r>
      <w:r>
        <w:rPr/>
        <w:t>.</w:t>
      </w:r>
    </w:p>
    <w:p>
      <w:pPr>
        <w:pStyle w:val="ListParagraph"/>
        <w:numPr>
          <w:ilvl w:val="2"/>
          <w:numId w:val="3"/>
        </w:numPr>
        <w:tabs>
          <w:tab w:pos="2259" w:val="left" w:leader="none"/>
          <w:tab w:pos="2260" w:val="left" w:leader="none"/>
          <w:tab w:pos="2979" w:val="left" w:leader="none"/>
        </w:tabs>
        <w:spacing w:line="244" w:lineRule="exact" w:before="0" w:after="0"/>
        <w:ind w:left="2260" w:right="0" w:hanging="720"/>
        <w:jc w:val="left"/>
        <w:rPr>
          <w:sz w:val="24"/>
        </w:rPr>
      </w:pPr>
      <w:r>
        <w:rPr>
          <w:rFonts w:ascii="Arial" w:hAnsi="Arial"/>
          <w:sz w:val="24"/>
        </w:rPr>
        <w:t>G</w:t>
        <w:tab/>
      </w:r>
      <w:r>
        <w:rPr>
          <w:sz w:val="24"/>
        </w:rPr>
        <w:t>Minn. Stat. § 504B.321 (formerly</w:t>
      </w:r>
      <w:r>
        <w:rPr>
          <w:spacing w:val="-11"/>
          <w:sz w:val="24"/>
        </w:rPr>
        <w:t> </w:t>
      </w:r>
      <w:r>
        <w:rPr>
          <w:sz w:val="24"/>
        </w:rPr>
        <w:t>566.05)</w:t>
      </w:r>
    </w:p>
    <w:p>
      <w:pPr>
        <w:pStyle w:val="ListParagraph"/>
        <w:numPr>
          <w:ilvl w:val="2"/>
          <w:numId w:val="3"/>
        </w:numPr>
        <w:tabs>
          <w:tab w:pos="2259" w:val="left" w:leader="none"/>
          <w:tab w:pos="2260" w:val="left" w:leader="none"/>
          <w:tab w:pos="2979" w:val="left" w:leader="none"/>
        </w:tabs>
        <w:spacing w:line="213" w:lineRule="auto" w:before="7" w:after="0"/>
        <w:ind w:left="2980" w:right="731" w:hanging="1440"/>
        <w:jc w:val="left"/>
        <w:rPr>
          <w:sz w:val="24"/>
        </w:rPr>
      </w:pPr>
      <w:r>
        <w:rPr>
          <w:rFonts w:ascii="Arial"/>
          <w:sz w:val="24"/>
        </w:rPr>
        <w:t>G</w:t>
        <w:tab/>
      </w:r>
      <w:r>
        <w:rPr>
          <w:sz w:val="24"/>
        </w:rPr>
        <w:t>Hennepin and Ramsey Housing Courts: Minn. Gen. R. </w:t>
      </w:r>
      <w:r>
        <w:rPr>
          <w:spacing w:val="-4"/>
          <w:sz w:val="24"/>
        </w:rPr>
        <w:t>Prac. </w:t>
      </w:r>
      <w:r>
        <w:rPr>
          <w:sz w:val="24"/>
        </w:rPr>
        <w:t>604(a).</w:t>
      </w:r>
    </w:p>
    <w:p>
      <w:pPr>
        <w:pStyle w:val="BodyText"/>
        <w:spacing w:before="1"/>
        <w:rPr>
          <w:sz w:val="21"/>
        </w:rPr>
      </w:pPr>
    </w:p>
    <w:p>
      <w:pPr>
        <w:pStyle w:val="ListParagraph"/>
        <w:numPr>
          <w:ilvl w:val="1"/>
          <w:numId w:val="3"/>
        </w:numPr>
        <w:tabs>
          <w:tab w:pos="1208" w:val="left" w:leader="none"/>
          <w:tab w:pos="1209" w:val="left" w:leader="none"/>
        </w:tabs>
        <w:spacing w:line="211" w:lineRule="auto" w:before="0" w:after="0"/>
        <w:ind w:left="1540" w:right="396" w:hanging="720"/>
        <w:jc w:val="left"/>
        <w:rPr>
          <w:sz w:val="24"/>
        </w:rPr>
      </w:pPr>
      <w:r>
        <w:rPr>
          <w:rFonts w:ascii="Arial" w:hAnsi="Arial"/>
          <w:sz w:val="24"/>
        </w:rPr>
        <w:t>G </w:t>
      </w:r>
      <w:r>
        <w:rPr>
          <w:sz w:val="24"/>
        </w:rPr>
        <w:t>Plaintiff is a landlord of a residential building with 12 or more residential </w:t>
      </w:r>
      <w:r>
        <w:rPr>
          <w:spacing w:val="-3"/>
          <w:sz w:val="24"/>
        </w:rPr>
        <w:t>units, </w:t>
      </w:r>
      <w:r>
        <w:rPr>
          <w:sz w:val="24"/>
        </w:rPr>
        <w:t>but failed to provide a written lease. Minn. Stat. §</w:t>
      </w:r>
      <w:r>
        <w:rPr>
          <w:spacing w:val="-2"/>
          <w:sz w:val="24"/>
        </w:rPr>
        <w:t> </w:t>
      </w:r>
      <w:r>
        <w:rPr>
          <w:sz w:val="24"/>
        </w:rPr>
        <w:t>504B.111.</w:t>
      </w:r>
    </w:p>
    <w:p>
      <w:pPr>
        <w:pStyle w:val="BodyText"/>
        <w:spacing w:before="10"/>
        <w:rPr>
          <w:sz w:val="20"/>
        </w:rPr>
      </w:pPr>
    </w:p>
    <w:p>
      <w:pPr>
        <w:pStyle w:val="ListParagraph"/>
        <w:numPr>
          <w:ilvl w:val="1"/>
          <w:numId w:val="3"/>
        </w:numPr>
        <w:tabs>
          <w:tab w:pos="1208" w:val="left" w:leader="none"/>
          <w:tab w:pos="1209" w:val="left" w:leader="none"/>
        </w:tabs>
        <w:spacing w:line="213" w:lineRule="auto" w:before="0" w:after="0"/>
        <w:ind w:left="1540" w:right="289" w:hanging="720"/>
        <w:jc w:val="left"/>
        <w:rPr>
          <w:sz w:val="24"/>
        </w:rPr>
      </w:pPr>
      <w:r>
        <w:rPr>
          <w:rFonts w:ascii="Arial" w:hAnsi="Arial"/>
          <w:sz w:val="24"/>
        </w:rPr>
        <w:t>G </w:t>
      </w:r>
      <w:r>
        <w:rPr>
          <w:sz w:val="24"/>
        </w:rPr>
        <w:t>I am a military service member or active National Guard member covered by</w:t>
      </w:r>
      <w:r>
        <w:rPr>
          <w:spacing w:val="-23"/>
          <w:sz w:val="24"/>
        </w:rPr>
        <w:t> </w:t>
      </w:r>
      <w:r>
        <w:rPr>
          <w:spacing w:val="-6"/>
          <w:sz w:val="24"/>
        </w:rPr>
        <w:t>the </w:t>
      </w:r>
      <w:r>
        <w:rPr>
          <w:sz w:val="24"/>
        </w:rPr>
        <w:t>Servicemembers Civil Relief Act. 50 App. U.S.C.A §§ 501-594.</w:t>
      </w:r>
    </w:p>
    <w:p>
      <w:pPr>
        <w:pStyle w:val="ListParagraph"/>
        <w:numPr>
          <w:ilvl w:val="1"/>
          <w:numId w:val="3"/>
        </w:numPr>
        <w:tabs>
          <w:tab w:pos="1209" w:val="left" w:leader="none"/>
          <w:tab w:pos="3336" w:val="left" w:leader="none"/>
        </w:tabs>
        <w:spacing w:line="240" w:lineRule="auto" w:before="216" w:after="0"/>
        <w:ind w:left="1208" w:right="0" w:hanging="389"/>
        <w:jc w:val="left"/>
        <w:rPr>
          <w:sz w:val="24"/>
        </w:rPr>
      </w:pPr>
      <w:r>
        <w:rPr>
          <w:rFonts w:ascii="Arial" w:hAnsi="Arial"/>
          <w:sz w:val="24"/>
        </w:rPr>
        <w:t>G  </w:t>
      </w:r>
      <w:r>
        <w:rPr>
          <w:sz w:val="24"/>
        </w:rPr>
        <w:t>The</w:t>
      </w:r>
      <w:r>
        <w:rPr>
          <w:spacing w:val="9"/>
          <w:sz w:val="24"/>
        </w:rPr>
        <w:t> </w:t>
      </w:r>
      <w:r>
        <w:rPr>
          <w:sz w:val="24"/>
        </w:rPr>
        <w:t>lease</w:t>
      </w:r>
      <w:r>
        <w:rPr>
          <w:spacing w:val="1"/>
          <w:sz w:val="24"/>
        </w:rPr>
        <w:t> </w:t>
      </w:r>
      <w:r>
        <w:rPr>
          <w:sz w:val="24"/>
        </w:rPr>
        <w:t>¶</w:t>
      </w:r>
      <w:r>
        <w:rPr>
          <w:sz w:val="24"/>
          <w:u w:val="single"/>
        </w:rPr>
        <w:t> </w:t>
        <w:tab/>
      </w:r>
      <w:r>
        <w:rPr>
          <w:sz w:val="24"/>
        </w:rPr>
        <w:t>requires Plaintiff to </w:t>
      </w:r>
      <w:r>
        <w:rPr>
          <w:spacing w:val="-3"/>
          <w:sz w:val="24"/>
        </w:rPr>
        <w:t>give </w:t>
      </w:r>
      <w:r>
        <w:rPr>
          <w:sz w:val="24"/>
        </w:rPr>
        <w:t>notice before filing this</w:t>
      </w:r>
      <w:r>
        <w:rPr>
          <w:spacing w:val="-3"/>
          <w:sz w:val="24"/>
        </w:rPr>
        <w:t> </w:t>
      </w:r>
      <w:r>
        <w:rPr>
          <w:sz w:val="24"/>
        </w:rPr>
        <w:t>action.</w:t>
      </w:r>
    </w:p>
    <w:p>
      <w:pPr>
        <w:spacing w:after="0" w:line="240" w:lineRule="auto"/>
        <w:jc w:val="left"/>
        <w:rPr>
          <w:sz w:val="24"/>
        </w:rPr>
        <w:sectPr>
          <w:pgSz w:w="12240" w:h="15840"/>
          <w:pgMar w:header="0" w:footer="1121" w:top="1120" w:bottom="1320" w:left="1340" w:right="1340"/>
        </w:sectPr>
      </w:pPr>
    </w:p>
    <w:p>
      <w:pPr>
        <w:pStyle w:val="ListParagraph"/>
        <w:numPr>
          <w:ilvl w:val="2"/>
          <w:numId w:val="3"/>
        </w:numPr>
        <w:tabs>
          <w:tab w:pos="2259" w:val="left" w:leader="none"/>
          <w:tab w:pos="2260" w:val="left" w:leader="none"/>
          <w:tab w:pos="2979" w:val="left" w:leader="none"/>
        </w:tabs>
        <w:spacing w:line="206" w:lineRule="auto" w:before="72" w:after="0"/>
        <w:ind w:left="2980" w:right="347" w:hanging="1440"/>
        <w:jc w:val="left"/>
        <w:rPr>
          <w:sz w:val="24"/>
        </w:rPr>
      </w:pPr>
      <w:r>
        <w:rPr>
          <w:rFonts w:ascii="Arial"/>
          <w:sz w:val="24"/>
        </w:rPr>
        <w:t>G</w:t>
        <w:tab/>
      </w:r>
      <w:r>
        <w:rPr>
          <w:sz w:val="24"/>
        </w:rPr>
        <w:t>Plaintiff failed to give the required notice. </w:t>
      </w:r>
      <w:r>
        <w:rPr>
          <w:i/>
          <w:sz w:val="24"/>
        </w:rPr>
        <w:t>Osuji v. Coleman</w:t>
      </w:r>
      <w:r>
        <w:rPr>
          <w:sz w:val="24"/>
        </w:rPr>
        <w:t>, </w:t>
      </w:r>
      <w:r>
        <w:rPr>
          <w:spacing w:val="-6"/>
          <w:sz w:val="24"/>
        </w:rPr>
        <w:t>No. </w:t>
      </w:r>
      <w:r>
        <w:rPr>
          <w:sz w:val="24"/>
        </w:rPr>
        <w:t>HC-01991118524 (Minn. Dist. Ct. 4</w:t>
      </w:r>
      <w:r>
        <w:rPr>
          <w:position w:val="10"/>
          <w:sz w:val="14"/>
        </w:rPr>
        <w:t>th </w:t>
      </w:r>
      <w:r>
        <w:rPr>
          <w:sz w:val="24"/>
        </w:rPr>
        <w:t>Dist. Nov. 30,</w:t>
      </w:r>
      <w:r>
        <w:rPr>
          <w:spacing w:val="-8"/>
          <w:sz w:val="24"/>
        </w:rPr>
        <w:t> </w:t>
      </w:r>
      <w:r>
        <w:rPr>
          <w:sz w:val="24"/>
        </w:rPr>
        <w:t>1999).</w:t>
      </w:r>
    </w:p>
    <w:p>
      <w:pPr>
        <w:pStyle w:val="ListParagraph"/>
        <w:numPr>
          <w:ilvl w:val="2"/>
          <w:numId w:val="3"/>
        </w:numPr>
        <w:tabs>
          <w:tab w:pos="2259" w:val="left" w:leader="none"/>
          <w:tab w:pos="2260" w:val="left" w:leader="none"/>
          <w:tab w:pos="2979" w:val="left" w:leader="none"/>
        </w:tabs>
        <w:spacing w:line="250" w:lineRule="exact" w:before="0" w:after="0"/>
        <w:ind w:left="2260" w:right="0" w:hanging="720"/>
        <w:jc w:val="left"/>
        <w:rPr>
          <w:i/>
          <w:sz w:val="24"/>
        </w:rPr>
      </w:pPr>
      <w:r>
        <w:rPr>
          <w:rFonts w:ascii="Arial" w:hAnsi="Arial"/>
          <w:sz w:val="24"/>
        </w:rPr>
        <w:t>G</w:t>
        <w:tab/>
      </w:r>
      <w:r>
        <w:rPr>
          <w:i/>
          <w:sz w:val="24"/>
        </w:rPr>
        <w:t>See </w:t>
      </w:r>
      <w:r>
        <w:rPr>
          <w:sz w:val="24"/>
        </w:rPr>
        <w:t>Holding Over Defenses, § </w:t>
      </w:r>
      <w:r>
        <w:rPr>
          <w:spacing w:val="-4"/>
          <w:sz w:val="24"/>
        </w:rPr>
        <w:t>F, </w:t>
      </w:r>
      <w:r>
        <w:rPr>
          <w:i/>
          <w:sz w:val="24"/>
        </w:rPr>
        <w:t>infra.</w:t>
      </w:r>
    </w:p>
    <w:p>
      <w:pPr>
        <w:pStyle w:val="ListParagraph"/>
        <w:numPr>
          <w:ilvl w:val="1"/>
          <w:numId w:val="3"/>
        </w:numPr>
        <w:tabs>
          <w:tab w:pos="1209" w:val="left" w:leader="none"/>
          <w:tab w:pos="9293" w:val="left" w:leader="none"/>
        </w:tabs>
        <w:spacing w:line="240" w:lineRule="auto" w:before="210" w:after="0"/>
        <w:ind w:left="1208" w:right="0" w:hanging="389"/>
        <w:jc w:val="left"/>
        <w:rPr>
          <w:sz w:val="24"/>
        </w:rPr>
      </w:pPr>
      <w:r>
        <w:rPr>
          <w:rFonts w:ascii="Arial"/>
          <w:sz w:val="24"/>
        </w:rPr>
        <w:t>G </w:t>
      </w:r>
      <w:r>
        <w:rPr>
          <w:rFonts w:ascii="Arial"/>
          <w:spacing w:val="10"/>
          <w:sz w:val="24"/>
        </w:rPr>
        <w:t> </w:t>
      </w:r>
      <w:r>
        <w:rPr>
          <w:sz w:val="24"/>
        </w:rPr>
        <w:t>Other:</w:t>
      </w:r>
      <w:r>
        <w:rPr>
          <w:sz w:val="24"/>
          <w:u w:val="single"/>
        </w:rPr>
        <w:t> </w:t>
        <w:tab/>
      </w:r>
      <w:r>
        <w:rPr>
          <w:sz w:val="24"/>
        </w:rPr>
        <w:t>.</w:t>
      </w:r>
    </w:p>
    <w:p>
      <w:pPr>
        <w:pStyle w:val="BodyText"/>
      </w:pPr>
    </w:p>
    <w:p>
      <w:pPr>
        <w:pStyle w:val="Heading1"/>
        <w:numPr>
          <w:ilvl w:val="0"/>
          <w:numId w:val="3"/>
        </w:numPr>
        <w:tabs>
          <w:tab w:pos="819" w:val="left" w:leader="none"/>
          <w:tab w:pos="820" w:val="left" w:leader="none"/>
        </w:tabs>
        <w:spacing w:line="240" w:lineRule="auto" w:before="182" w:after="0"/>
        <w:ind w:left="820" w:right="0" w:hanging="720"/>
        <w:jc w:val="left"/>
      </w:pPr>
      <w:r>
        <w:rPr/>
        <w:t>NONPAYMENT OF RENT</w:t>
      </w:r>
      <w:r>
        <w:rPr>
          <w:spacing w:val="-6"/>
        </w:rPr>
        <w:t> </w:t>
      </w:r>
      <w:r>
        <w:rPr/>
        <w:t>CASES</w:t>
      </w:r>
    </w:p>
    <w:p>
      <w:pPr>
        <w:pStyle w:val="ListParagraph"/>
        <w:numPr>
          <w:ilvl w:val="1"/>
          <w:numId w:val="3"/>
        </w:numPr>
        <w:tabs>
          <w:tab w:pos="1208" w:val="left" w:leader="none"/>
          <w:tab w:pos="1209" w:val="left" w:leader="none"/>
        </w:tabs>
        <w:spacing w:line="240" w:lineRule="auto" w:before="206" w:after="0"/>
        <w:ind w:left="1208" w:right="0" w:hanging="389"/>
        <w:jc w:val="left"/>
        <w:rPr>
          <w:sz w:val="24"/>
        </w:rPr>
      </w:pPr>
      <w:r>
        <w:rPr>
          <w:rFonts w:ascii="Arial"/>
          <w:sz w:val="24"/>
        </w:rPr>
        <w:t>G </w:t>
      </w:r>
      <w:r>
        <w:rPr>
          <w:sz w:val="24"/>
        </w:rPr>
        <w:t>Under Executive Order 20-79, nonpayment of rent evictions are</w:t>
      </w:r>
      <w:r>
        <w:rPr>
          <w:spacing w:val="1"/>
          <w:sz w:val="24"/>
        </w:rPr>
        <w:t> </w:t>
      </w:r>
      <w:r>
        <w:rPr>
          <w:sz w:val="24"/>
        </w:rPr>
        <w:t>prohibited.</w:t>
      </w:r>
    </w:p>
    <w:p>
      <w:pPr>
        <w:pStyle w:val="ListParagraph"/>
        <w:numPr>
          <w:ilvl w:val="1"/>
          <w:numId w:val="3"/>
        </w:numPr>
        <w:tabs>
          <w:tab w:pos="1208" w:val="left" w:leader="none"/>
          <w:tab w:pos="1209" w:val="left" w:leader="none"/>
          <w:tab w:pos="9293" w:val="left" w:leader="none"/>
        </w:tabs>
        <w:spacing w:line="240" w:lineRule="auto" w:before="210" w:after="0"/>
        <w:ind w:left="1208" w:right="0" w:hanging="389"/>
        <w:jc w:val="left"/>
        <w:rPr>
          <w:sz w:val="24"/>
        </w:rPr>
      </w:pPr>
      <w:r>
        <w:rPr>
          <w:rFonts w:ascii="Arial"/>
          <w:sz w:val="24"/>
        </w:rPr>
        <w:t>G </w:t>
      </w:r>
      <w:r>
        <w:rPr>
          <w:rFonts w:ascii="Arial"/>
          <w:spacing w:val="10"/>
          <w:sz w:val="24"/>
        </w:rPr>
        <w:t> </w:t>
      </w:r>
      <w:r>
        <w:rPr>
          <w:sz w:val="24"/>
        </w:rPr>
        <w:t>Other:</w:t>
      </w:r>
      <w:r>
        <w:rPr>
          <w:sz w:val="24"/>
          <w:u w:val="single"/>
        </w:rPr>
        <w:t> </w:t>
        <w:tab/>
      </w:r>
      <w:r>
        <w:rPr>
          <w:sz w:val="24"/>
        </w:rPr>
        <w:t>.</w:t>
      </w:r>
    </w:p>
    <w:p>
      <w:pPr>
        <w:pStyle w:val="BodyText"/>
        <w:spacing w:before="9"/>
        <w:rPr>
          <w:sz w:val="18"/>
        </w:rPr>
      </w:pPr>
    </w:p>
    <w:p>
      <w:pPr>
        <w:pStyle w:val="Heading1"/>
        <w:numPr>
          <w:ilvl w:val="0"/>
          <w:numId w:val="3"/>
        </w:numPr>
        <w:tabs>
          <w:tab w:pos="819" w:val="left" w:leader="none"/>
          <w:tab w:pos="820" w:val="left" w:leader="none"/>
        </w:tabs>
        <w:spacing w:line="240" w:lineRule="auto" w:before="0" w:after="0"/>
        <w:ind w:left="820" w:right="0" w:hanging="720"/>
        <w:jc w:val="left"/>
      </w:pPr>
      <w:r>
        <w:rPr/>
        <w:t>HOLDING OVER</w:t>
      </w:r>
      <w:r>
        <w:rPr>
          <w:spacing w:val="-1"/>
        </w:rPr>
        <w:t> </w:t>
      </w:r>
      <w:r>
        <w:rPr/>
        <w:t>CASES</w:t>
      </w:r>
    </w:p>
    <w:p>
      <w:pPr>
        <w:pStyle w:val="BodyText"/>
        <w:spacing w:before="2"/>
        <w:rPr>
          <w:b/>
          <w:sz w:val="20"/>
        </w:rPr>
      </w:pPr>
    </w:p>
    <w:p>
      <w:pPr>
        <w:pStyle w:val="ListParagraph"/>
        <w:numPr>
          <w:ilvl w:val="0"/>
          <w:numId w:val="4"/>
        </w:numPr>
        <w:tabs>
          <w:tab w:pos="1208" w:val="left" w:leader="none"/>
          <w:tab w:pos="1209" w:val="left" w:leader="none"/>
        </w:tabs>
        <w:spacing w:line="211" w:lineRule="auto" w:before="0" w:after="0"/>
        <w:ind w:left="1540" w:right="293" w:hanging="720"/>
        <w:jc w:val="left"/>
        <w:rPr>
          <w:sz w:val="24"/>
        </w:rPr>
      </w:pPr>
      <w:r>
        <w:rPr>
          <w:rFonts w:ascii="Arial"/>
          <w:sz w:val="24"/>
        </w:rPr>
        <w:t>G </w:t>
      </w:r>
      <w:r>
        <w:rPr>
          <w:sz w:val="24"/>
        </w:rPr>
        <w:t>Under Executive Order 20-14 as amended by Executive Order 20-73, evictions claiming holding over after notice or expiration of the lease are prohibited. </w:t>
      </w:r>
      <w:r>
        <w:rPr>
          <w:spacing w:val="-6"/>
          <w:sz w:val="24"/>
        </w:rPr>
        <w:t>If the </w:t>
      </w:r>
      <w:r>
        <w:rPr>
          <w:sz w:val="24"/>
        </w:rPr>
        <w:t>lease required the landlord to provide notice to terminate the lease, the checked defenses below</w:t>
      </w:r>
      <w:r>
        <w:rPr>
          <w:spacing w:val="-1"/>
          <w:sz w:val="24"/>
        </w:rPr>
        <w:t> </w:t>
      </w:r>
      <w:r>
        <w:rPr>
          <w:sz w:val="24"/>
        </w:rPr>
        <w:t>apply.</w:t>
      </w:r>
    </w:p>
    <w:p>
      <w:pPr>
        <w:pStyle w:val="BodyText"/>
        <w:spacing w:before="5"/>
        <w:rPr>
          <w:sz w:val="21"/>
        </w:rPr>
      </w:pPr>
    </w:p>
    <w:p>
      <w:pPr>
        <w:pStyle w:val="ListParagraph"/>
        <w:numPr>
          <w:ilvl w:val="0"/>
          <w:numId w:val="4"/>
        </w:numPr>
        <w:tabs>
          <w:tab w:pos="1208" w:val="left" w:leader="none"/>
          <w:tab w:pos="1209" w:val="left" w:leader="none"/>
        </w:tabs>
        <w:spacing w:line="211" w:lineRule="auto" w:before="0" w:after="0"/>
        <w:ind w:left="1540" w:right="104" w:hanging="720"/>
        <w:jc w:val="left"/>
        <w:rPr>
          <w:sz w:val="24"/>
        </w:rPr>
      </w:pPr>
      <w:r>
        <w:rPr>
          <w:rFonts w:ascii="Arial"/>
          <w:sz w:val="24"/>
        </w:rPr>
        <w:t>G </w:t>
      </w:r>
      <w:r>
        <w:rPr>
          <w:sz w:val="24"/>
        </w:rPr>
        <w:t>Hennepin and Ramsey Housing Courts: Plaintiff alleges holding over after</w:t>
      </w:r>
      <w:r>
        <w:rPr>
          <w:spacing w:val="-24"/>
          <w:sz w:val="24"/>
        </w:rPr>
        <w:t> </w:t>
      </w:r>
      <w:r>
        <w:rPr>
          <w:sz w:val="24"/>
        </w:rPr>
        <w:t>notice. Plaintiff did not attach a copy of the termination notice to the complaint. Plaintiff must provide a copy of the notice to me at the hearing. Minn. Gen. R. Prac.</w:t>
      </w:r>
      <w:r>
        <w:rPr>
          <w:spacing w:val="-17"/>
          <w:sz w:val="24"/>
        </w:rPr>
        <w:t> </w:t>
      </w:r>
      <w:r>
        <w:rPr>
          <w:sz w:val="24"/>
        </w:rPr>
        <w:t>604c.</w:t>
      </w:r>
    </w:p>
    <w:p>
      <w:pPr>
        <w:pStyle w:val="BodyText"/>
        <w:spacing w:before="11"/>
        <w:rPr>
          <w:sz w:val="18"/>
        </w:rPr>
      </w:pPr>
    </w:p>
    <w:p>
      <w:pPr>
        <w:pStyle w:val="ListParagraph"/>
        <w:numPr>
          <w:ilvl w:val="0"/>
          <w:numId w:val="4"/>
        </w:numPr>
        <w:tabs>
          <w:tab w:pos="1208" w:val="left" w:leader="none"/>
          <w:tab w:pos="1209" w:val="left" w:leader="none"/>
        </w:tabs>
        <w:spacing w:line="240" w:lineRule="auto" w:before="0" w:after="0"/>
        <w:ind w:left="1208" w:right="0" w:hanging="389"/>
        <w:jc w:val="left"/>
        <w:rPr>
          <w:sz w:val="24"/>
        </w:rPr>
      </w:pPr>
      <w:r>
        <w:rPr>
          <w:rFonts w:ascii="Arial"/>
          <w:sz w:val="24"/>
        </w:rPr>
        <w:t>G </w:t>
      </w:r>
      <w:r>
        <w:rPr>
          <w:sz w:val="24"/>
        </w:rPr>
        <w:t>Plaintiff did not give me proper notice to end my</w:t>
      </w:r>
      <w:r>
        <w:rPr>
          <w:spacing w:val="-6"/>
          <w:sz w:val="24"/>
        </w:rPr>
        <w:t> </w:t>
      </w:r>
      <w:r>
        <w:rPr>
          <w:sz w:val="24"/>
        </w:rPr>
        <w:t>lease.</w:t>
      </w:r>
    </w:p>
    <w:p>
      <w:pPr>
        <w:pStyle w:val="BodyText"/>
        <w:spacing w:before="7"/>
        <w:rPr>
          <w:sz w:val="20"/>
        </w:rPr>
      </w:pPr>
    </w:p>
    <w:p>
      <w:pPr>
        <w:pStyle w:val="ListParagraph"/>
        <w:numPr>
          <w:ilvl w:val="1"/>
          <w:numId w:val="4"/>
        </w:numPr>
        <w:tabs>
          <w:tab w:pos="2259" w:val="left" w:leader="none"/>
          <w:tab w:pos="2260" w:val="left" w:leader="none"/>
          <w:tab w:pos="2979" w:val="left" w:leader="none"/>
        </w:tabs>
        <w:spacing w:line="211" w:lineRule="auto" w:before="0" w:after="0"/>
        <w:ind w:left="2980" w:right="519" w:hanging="1440"/>
        <w:jc w:val="left"/>
        <w:rPr>
          <w:sz w:val="24"/>
        </w:rPr>
      </w:pPr>
      <w:r>
        <w:rPr>
          <w:rFonts w:ascii="Arial" w:hAnsi="Arial"/>
          <w:sz w:val="24"/>
        </w:rPr>
        <w:t>G</w:t>
        <w:tab/>
      </w:r>
      <w:r>
        <w:rPr>
          <w:sz w:val="24"/>
        </w:rPr>
        <w:t>I am a month-to-month tenant, entitled to a one month notice received before rent is due. Minn. Stat. § 504B.135 (formerly</w:t>
      </w:r>
      <w:r>
        <w:rPr>
          <w:spacing w:val="-20"/>
          <w:sz w:val="24"/>
        </w:rPr>
        <w:t> </w:t>
      </w:r>
      <w:r>
        <w:rPr>
          <w:spacing w:val="-18"/>
          <w:sz w:val="24"/>
        </w:rPr>
        <w:t>§ </w:t>
      </w:r>
      <w:r>
        <w:rPr>
          <w:sz w:val="24"/>
        </w:rPr>
        <w:t>504.06).</w:t>
      </w:r>
    </w:p>
    <w:p>
      <w:pPr>
        <w:pStyle w:val="ListParagraph"/>
        <w:numPr>
          <w:ilvl w:val="1"/>
          <w:numId w:val="4"/>
        </w:numPr>
        <w:tabs>
          <w:tab w:pos="2259" w:val="left" w:leader="none"/>
          <w:tab w:pos="2260" w:val="left" w:leader="none"/>
          <w:tab w:pos="2979" w:val="left" w:leader="none"/>
          <w:tab w:pos="6040" w:val="left" w:leader="none"/>
        </w:tabs>
        <w:spacing w:line="250" w:lineRule="exact" w:before="0" w:after="0"/>
        <w:ind w:left="2260" w:right="0" w:hanging="720"/>
        <w:jc w:val="left"/>
        <w:rPr>
          <w:sz w:val="24"/>
        </w:rPr>
      </w:pPr>
      <w:r>
        <w:rPr>
          <w:rFonts w:ascii="Arial" w:hAnsi="Arial"/>
          <w:sz w:val="24"/>
        </w:rPr>
        <w:t>G</w:t>
        <w:tab/>
      </w:r>
      <w:r>
        <w:rPr>
          <w:sz w:val="24"/>
        </w:rPr>
        <w:t>The lease requires</w:t>
      </w:r>
      <w:r>
        <w:rPr>
          <w:sz w:val="24"/>
          <w:u w:val="single"/>
        </w:rPr>
        <w:t> </w:t>
        <w:tab/>
      </w:r>
      <w:r>
        <w:rPr>
          <w:spacing w:val="-3"/>
          <w:sz w:val="24"/>
        </w:rPr>
        <w:t>days’</w:t>
      </w:r>
      <w:r>
        <w:rPr>
          <w:sz w:val="24"/>
        </w:rPr>
        <w:t> notice.</w:t>
      </w:r>
    </w:p>
    <w:p>
      <w:pPr>
        <w:pStyle w:val="ListParagraph"/>
        <w:numPr>
          <w:ilvl w:val="0"/>
          <w:numId w:val="4"/>
        </w:numPr>
        <w:tabs>
          <w:tab w:pos="1208" w:val="left" w:leader="none"/>
          <w:tab w:pos="1209" w:val="left" w:leader="none"/>
        </w:tabs>
        <w:spacing w:line="240" w:lineRule="auto" w:before="210" w:after="0"/>
        <w:ind w:left="1208" w:right="0" w:hanging="389"/>
        <w:jc w:val="left"/>
        <w:rPr>
          <w:sz w:val="24"/>
        </w:rPr>
      </w:pPr>
      <w:r>
        <w:rPr>
          <w:rFonts w:ascii="Arial"/>
          <w:sz w:val="24"/>
        </w:rPr>
        <w:t>G</w:t>
      </w:r>
      <w:r>
        <w:rPr>
          <w:rFonts w:ascii="Arial"/>
          <w:spacing w:val="5"/>
          <w:sz w:val="24"/>
        </w:rPr>
        <w:t> </w:t>
      </w:r>
      <w:r>
        <w:rPr>
          <w:sz w:val="24"/>
        </w:rPr>
        <w:t>Retaliation:</w:t>
      </w:r>
    </w:p>
    <w:p>
      <w:pPr>
        <w:pStyle w:val="ListParagraph"/>
        <w:numPr>
          <w:ilvl w:val="1"/>
          <w:numId w:val="4"/>
        </w:numPr>
        <w:tabs>
          <w:tab w:pos="2259" w:val="left" w:leader="none"/>
          <w:tab w:pos="2260" w:val="left" w:leader="none"/>
          <w:tab w:pos="2979" w:val="left" w:leader="none"/>
        </w:tabs>
        <w:spacing w:line="261" w:lineRule="exact" w:before="211" w:after="0"/>
        <w:ind w:left="2260" w:right="0" w:hanging="720"/>
        <w:jc w:val="left"/>
        <w:rPr>
          <w:sz w:val="24"/>
        </w:rPr>
      </w:pPr>
      <w:r>
        <w:rPr>
          <w:rFonts w:ascii="Arial" w:hAnsi="Arial"/>
          <w:sz w:val="24"/>
        </w:rPr>
        <w:t>G</w:t>
        <w:tab/>
      </w:r>
      <w:r>
        <w:rPr>
          <w:sz w:val="24"/>
        </w:rPr>
        <w:t>Plaintiff’s notice for me to move was retaliatory under Minn.</w:t>
      </w:r>
      <w:r>
        <w:rPr>
          <w:spacing w:val="-14"/>
          <w:sz w:val="24"/>
        </w:rPr>
        <w:t> </w:t>
      </w:r>
      <w:r>
        <w:rPr>
          <w:sz w:val="24"/>
        </w:rPr>
        <w:t>Stat.</w:t>
      </w:r>
    </w:p>
    <w:p>
      <w:pPr>
        <w:pStyle w:val="BodyText"/>
        <w:spacing w:line="211" w:lineRule="auto" w:before="11"/>
        <w:ind w:left="2980" w:right="183"/>
      </w:pPr>
      <w:r>
        <w:rPr/>
        <w:t>§ 504B.285 (formerly § 566.03), § 504B.441 (formerly § 566.28), and was intended in whole or part as a penalty actions on</w:t>
      </w:r>
    </w:p>
    <w:p>
      <w:pPr>
        <w:pStyle w:val="BodyText"/>
        <w:tabs>
          <w:tab w:pos="4594" w:val="left" w:leader="none"/>
        </w:tabs>
        <w:spacing w:line="211" w:lineRule="auto" w:before="1"/>
        <w:ind w:left="2980" w:right="126"/>
      </w:pPr>
      <w:r>
        <w:rPr>
          <w:u w:val="single"/>
        </w:rPr>
        <w:t> </w:t>
        <w:tab/>
      </w:r>
      <w:r>
        <w:rPr/>
        <w:t>to secure or enforce rights under a lease or con- tract, oral or written, under the laws of the state or any of its gov- ernmental subdivisions, or of the United States; or to report to a governmental authority of the plaintiff's violation of a health, safety, housing, or building code or ordinance. Plaintiff lacks a substantial non-retaliatory purpose, arising at or within a short </w:t>
      </w:r>
      <w:r>
        <w:rPr>
          <w:spacing w:val="-5"/>
        </w:rPr>
        <w:t>time </w:t>
      </w:r>
      <w:r>
        <w:rPr/>
        <w:t>before service of the notice to quit, wholly unrelated to and unmo- tivated by my protected activity. </w:t>
      </w:r>
      <w:r>
        <w:rPr>
          <w:i/>
        </w:rPr>
        <w:t>Parkin v. Fitzgerald</w:t>
      </w:r>
      <w:r>
        <w:rPr/>
        <w:t>, 307</w:t>
      </w:r>
      <w:r>
        <w:rPr>
          <w:spacing w:val="-22"/>
        </w:rPr>
        <w:t> </w:t>
      </w:r>
      <w:r>
        <w:rPr/>
        <w:t>Minn.</w:t>
      </w:r>
    </w:p>
    <w:p>
      <w:pPr>
        <w:pStyle w:val="BodyText"/>
        <w:spacing w:line="238" w:lineRule="exact"/>
        <w:ind w:left="2980"/>
      </w:pPr>
      <w:r>
        <w:rPr/>
        <w:t>423, 240 N.W.2d 828 (1976).</w:t>
      </w:r>
    </w:p>
    <w:p>
      <w:pPr>
        <w:pStyle w:val="ListParagraph"/>
        <w:numPr>
          <w:ilvl w:val="1"/>
          <w:numId w:val="4"/>
        </w:numPr>
        <w:tabs>
          <w:tab w:pos="2259" w:val="left" w:leader="none"/>
          <w:tab w:pos="2260" w:val="left" w:leader="none"/>
          <w:tab w:pos="2979" w:val="left" w:leader="none"/>
        </w:tabs>
        <w:spacing w:line="211" w:lineRule="auto" w:before="10" w:after="0"/>
        <w:ind w:left="2980" w:right="114" w:hanging="1440"/>
        <w:jc w:val="left"/>
        <w:rPr>
          <w:sz w:val="24"/>
        </w:rPr>
      </w:pPr>
      <w:r>
        <w:rPr>
          <w:rFonts w:ascii="Arial"/>
          <w:sz w:val="24"/>
        </w:rPr>
        <w:t>G</w:t>
        <w:tab/>
      </w:r>
      <w:r>
        <w:rPr>
          <w:sz w:val="24"/>
        </w:rPr>
        <w:t>I have a common law defense to this eviction that is in retaliation for my complaints about material violations by the landlord of </w:t>
      </w:r>
      <w:r>
        <w:rPr>
          <w:spacing w:val="-4"/>
          <w:sz w:val="24"/>
        </w:rPr>
        <w:t>state </w:t>
      </w:r>
      <w:r>
        <w:rPr>
          <w:sz w:val="24"/>
        </w:rPr>
        <w:t>or local law, residential covenants, or the lease. </w:t>
      </w:r>
      <w:r>
        <w:rPr>
          <w:i/>
          <w:sz w:val="24"/>
        </w:rPr>
        <w:t>Cent. Hous. Assocs., LP v. Olson</w:t>
      </w:r>
      <w:r>
        <w:rPr>
          <w:sz w:val="24"/>
        </w:rPr>
        <w:t>, 929 N.W.2d 398 (Minn.</w:t>
      </w:r>
      <w:r>
        <w:rPr>
          <w:spacing w:val="-1"/>
          <w:sz w:val="24"/>
        </w:rPr>
        <w:t> </w:t>
      </w:r>
      <w:r>
        <w:rPr>
          <w:sz w:val="24"/>
        </w:rPr>
        <w:t>2019).</w:t>
      </w:r>
    </w:p>
    <w:p>
      <w:pPr>
        <w:pStyle w:val="BodyText"/>
        <w:spacing w:before="1"/>
        <w:rPr>
          <w:sz w:val="19"/>
        </w:rPr>
      </w:pPr>
    </w:p>
    <w:p>
      <w:pPr>
        <w:pStyle w:val="ListParagraph"/>
        <w:numPr>
          <w:ilvl w:val="0"/>
          <w:numId w:val="4"/>
        </w:numPr>
        <w:tabs>
          <w:tab w:pos="1208" w:val="left" w:leader="none"/>
          <w:tab w:pos="1209" w:val="left" w:leader="none"/>
        </w:tabs>
        <w:spacing w:line="240" w:lineRule="auto" w:before="0" w:after="0"/>
        <w:ind w:left="1208" w:right="0" w:hanging="389"/>
        <w:jc w:val="left"/>
        <w:rPr>
          <w:sz w:val="24"/>
        </w:rPr>
      </w:pPr>
      <w:r>
        <w:rPr>
          <w:rFonts w:ascii="Arial"/>
          <w:sz w:val="24"/>
        </w:rPr>
        <w:t>G </w:t>
      </w:r>
      <w:r>
        <w:rPr>
          <w:sz w:val="24"/>
        </w:rPr>
        <w:t>Plaintiff waived the notice to end my lease or is estopped from enforcing it</w:t>
      </w:r>
      <w:r>
        <w:rPr>
          <w:spacing w:val="-11"/>
          <w:sz w:val="24"/>
        </w:rPr>
        <w:t> </w:t>
      </w:r>
      <w:r>
        <w:rPr>
          <w:spacing w:val="-3"/>
          <w:sz w:val="24"/>
        </w:rPr>
        <w:t>by:</w:t>
      </w:r>
    </w:p>
    <w:p>
      <w:pPr>
        <w:spacing w:after="0" w:line="240" w:lineRule="auto"/>
        <w:jc w:val="left"/>
        <w:rPr>
          <w:sz w:val="24"/>
        </w:rPr>
        <w:sectPr>
          <w:pgSz w:w="12240" w:h="15840"/>
          <w:pgMar w:header="0" w:footer="1121" w:top="1040" w:bottom="1320" w:left="1340" w:right="1340"/>
        </w:sectPr>
      </w:pPr>
    </w:p>
    <w:p>
      <w:pPr>
        <w:pStyle w:val="ListParagraph"/>
        <w:numPr>
          <w:ilvl w:val="1"/>
          <w:numId w:val="4"/>
        </w:numPr>
        <w:tabs>
          <w:tab w:pos="2259" w:val="left" w:leader="none"/>
          <w:tab w:pos="2260" w:val="left" w:leader="none"/>
          <w:tab w:pos="2979" w:val="left" w:leader="none"/>
        </w:tabs>
        <w:spacing w:line="211" w:lineRule="auto" w:before="67" w:after="0"/>
        <w:ind w:left="2980" w:right="145" w:hanging="1440"/>
        <w:jc w:val="left"/>
        <w:rPr>
          <w:sz w:val="24"/>
        </w:rPr>
      </w:pPr>
      <w:r>
        <w:rPr>
          <w:rFonts w:ascii="Arial"/>
          <w:sz w:val="24"/>
        </w:rPr>
        <w:t>G</w:t>
        <w:tab/>
      </w:r>
      <w:r>
        <w:rPr>
          <w:sz w:val="24"/>
        </w:rPr>
        <w:t>Accepting rent after the move out date. </w:t>
      </w:r>
      <w:r>
        <w:rPr>
          <w:i/>
          <w:sz w:val="24"/>
        </w:rPr>
        <w:t>Pappas v. Stark</w:t>
      </w:r>
      <w:r>
        <w:rPr>
          <w:sz w:val="24"/>
        </w:rPr>
        <w:t>, 123 </w:t>
      </w:r>
      <w:r>
        <w:rPr>
          <w:spacing w:val="-3"/>
          <w:sz w:val="24"/>
        </w:rPr>
        <w:t>Minn. </w:t>
      </w:r>
      <w:r>
        <w:rPr>
          <w:sz w:val="24"/>
        </w:rPr>
        <w:t>81, 83, 142 N.W. 1042, 1047</w:t>
      </w:r>
      <w:r>
        <w:rPr>
          <w:spacing w:val="-2"/>
          <w:sz w:val="24"/>
        </w:rPr>
        <w:t> </w:t>
      </w:r>
      <w:r>
        <w:rPr>
          <w:sz w:val="24"/>
        </w:rPr>
        <w:t>(1913).</w:t>
      </w:r>
    </w:p>
    <w:p>
      <w:pPr>
        <w:pStyle w:val="ListParagraph"/>
        <w:numPr>
          <w:ilvl w:val="1"/>
          <w:numId w:val="4"/>
        </w:numPr>
        <w:tabs>
          <w:tab w:pos="2259" w:val="left" w:leader="none"/>
          <w:tab w:pos="2260" w:val="left" w:leader="none"/>
          <w:tab w:pos="2979" w:val="left" w:leader="none"/>
        </w:tabs>
        <w:spacing w:line="234" w:lineRule="exact" w:before="0" w:after="0"/>
        <w:ind w:left="2260" w:right="0" w:hanging="720"/>
        <w:jc w:val="left"/>
        <w:rPr>
          <w:sz w:val="24"/>
        </w:rPr>
      </w:pPr>
      <w:r>
        <w:rPr>
          <w:rFonts w:ascii="Arial" w:hAnsi="Arial"/>
          <w:sz w:val="24"/>
        </w:rPr>
        <w:t>G</w:t>
        <w:tab/>
      </w:r>
      <w:r>
        <w:rPr>
          <w:sz w:val="24"/>
        </w:rPr>
        <w:t>Demanding rent in this case. </w:t>
      </w:r>
      <w:r>
        <w:rPr>
          <w:i/>
          <w:sz w:val="24"/>
        </w:rPr>
        <w:t>See </w:t>
      </w:r>
      <w:r>
        <w:rPr>
          <w:sz w:val="24"/>
        </w:rPr>
        <w:t>Minn. Stat. § 504B.291</w:t>
      </w:r>
      <w:r>
        <w:rPr>
          <w:spacing w:val="-11"/>
          <w:sz w:val="24"/>
        </w:rPr>
        <w:t> </w:t>
      </w:r>
      <w:r>
        <w:rPr>
          <w:sz w:val="24"/>
        </w:rPr>
        <w:t>(formerly</w:t>
      </w:r>
    </w:p>
    <w:p>
      <w:pPr>
        <w:spacing w:line="244" w:lineRule="exact" w:before="0"/>
        <w:ind w:left="2980" w:right="0" w:firstLine="0"/>
        <w:jc w:val="left"/>
        <w:rPr>
          <w:sz w:val="24"/>
        </w:rPr>
      </w:pPr>
      <w:r>
        <w:rPr>
          <w:sz w:val="24"/>
        </w:rPr>
        <w:t>§ 504.02); </w:t>
      </w:r>
      <w:r>
        <w:rPr>
          <w:i/>
          <w:sz w:val="24"/>
        </w:rPr>
        <w:t>Pappas v. Stark</w:t>
      </w:r>
      <w:r>
        <w:rPr>
          <w:sz w:val="24"/>
        </w:rPr>
        <w:t>, 123 Minn. 81, 83, 142 N.W. 1042,</w:t>
      </w:r>
    </w:p>
    <w:p>
      <w:pPr>
        <w:pStyle w:val="BodyText"/>
        <w:spacing w:line="260" w:lineRule="exact"/>
        <w:ind w:left="2980"/>
      </w:pPr>
      <w:r>
        <w:rPr/>
        <w:t>1047 (1913).</w:t>
      </w:r>
    </w:p>
    <w:p>
      <w:pPr>
        <w:pStyle w:val="BodyText"/>
        <w:spacing w:before="7"/>
        <w:rPr>
          <w:sz w:val="20"/>
        </w:rPr>
      </w:pPr>
    </w:p>
    <w:p>
      <w:pPr>
        <w:pStyle w:val="ListParagraph"/>
        <w:numPr>
          <w:ilvl w:val="0"/>
          <w:numId w:val="4"/>
        </w:numPr>
        <w:tabs>
          <w:tab w:pos="1208" w:val="left" w:leader="none"/>
          <w:tab w:pos="1209" w:val="left" w:leader="none"/>
        </w:tabs>
        <w:spacing w:line="211" w:lineRule="auto" w:before="0" w:after="0"/>
        <w:ind w:left="1540" w:right="171" w:hanging="720"/>
        <w:jc w:val="left"/>
        <w:rPr>
          <w:sz w:val="24"/>
        </w:rPr>
      </w:pPr>
      <w:r>
        <w:rPr>
          <w:rFonts w:ascii="Arial" w:hAnsi="Arial"/>
          <w:sz w:val="24"/>
        </w:rPr>
        <w:t>G </w:t>
      </w:r>
      <w:r>
        <w:rPr>
          <w:sz w:val="24"/>
        </w:rPr>
        <w:t>Plaintiff is discriminating against me as a member of a protected class. </w:t>
      </w:r>
      <w:r>
        <w:rPr>
          <w:i/>
          <w:sz w:val="24"/>
        </w:rPr>
        <w:t>Barnes v. Weis Management Co.</w:t>
      </w:r>
      <w:r>
        <w:rPr>
          <w:sz w:val="24"/>
        </w:rPr>
        <w:t>, 347 N.W.2d 519, 522 (Minn. Ct. App. 1984); 42 U.S.C. </w:t>
      </w:r>
      <w:r>
        <w:rPr>
          <w:spacing w:val="-15"/>
          <w:sz w:val="24"/>
        </w:rPr>
        <w:t>§ </w:t>
      </w:r>
      <w:r>
        <w:rPr>
          <w:sz w:val="24"/>
        </w:rPr>
        <w:t>3604; Minn. Stat. § 363A.09.</w:t>
      </w:r>
    </w:p>
    <w:p>
      <w:pPr>
        <w:pStyle w:val="BodyText"/>
        <w:spacing w:before="3"/>
        <w:rPr>
          <w:sz w:val="21"/>
        </w:rPr>
      </w:pPr>
    </w:p>
    <w:p>
      <w:pPr>
        <w:pStyle w:val="ListParagraph"/>
        <w:numPr>
          <w:ilvl w:val="0"/>
          <w:numId w:val="4"/>
        </w:numPr>
        <w:tabs>
          <w:tab w:pos="1208" w:val="left" w:leader="none"/>
          <w:tab w:pos="1209" w:val="left" w:leader="none"/>
        </w:tabs>
        <w:spacing w:line="211" w:lineRule="auto" w:before="0" w:after="0"/>
        <w:ind w:left="1540" w:right="372" w:hanging="720"/>
        <w:jc w:val="left"/>
        <w:rPr>
          <w:sz w:val="24"/>
        </w:rPr>
      </w:pPr>
      <w:r>
        <w:rPr>
          <w:rFonts w:ascii="Arial"/>
          <w:sz w:val="24"/>
        </w:rPr>
        <w:t>G </w:t>
      </w:r>
      <w:r>
        <w:rPr>
          <w:sz w:val="24"/>
        </w:rPr>
        <w:t>This eviction is based on foreclosure of a mortgage or cancellation of a contract for deed.</w:t>
      </w:r>
    </w:p>
    <w:p>
      <w:pPr>
        <w:pStyle w:val="BodyText"/>
        <w:spacing w:before="2"/>
        <w:rPr>
          <w:sz w:val="21"/>
        </w:rPr>
      </w:pPr>
    </w:p>
    <w:p>
      <w:pPr>
        <w:pStyle w:val="ListParagraph"/>
        <w:numPr>
          <w:ilvl w:val="1"/>
          <w:numId w:val="4"/>
        </w:numPr>
        <w:tabs>
          <w:tab w:pos="2259" w:val="left" w:leader="none"/>
          <w:tab w:pos="2260" w:val="left" w:leader="none"/>
          <w:tab w:pos="2979" w:val="left" w:leader="none"/>
        </w:tabs>
        <w:spacing w:line="211" w:lineRule="auto" w:before="0" w:after="0"/>
        <w:ind w:left="2980" w:right="105" w:hanging="1440"/>
        <w:jc w:val="left"/>
        <w:rPr>
          <w:sz w:val="24"/>
        </w:rPr>
      </w:pPr>
      <w:r>
        <w:rPr>
          <w:rFonts w:ascii="Arial" w:hAnsi="Arial"/>
          <w:sz w:val="24"/>
        </w:rPr>
        <w:t>G</w:t>
        <w:tab/>
      </w:r>
      <w:r>
        <w:rPr>
          <w:sz w:val="24"/>
        </w:rPr>
        <w:t>I have defenses to Plaintiff’s claim of title to the property. </w:t>
      </w:r>
      <w:r>
        <w:rPr>
          <w:i/>
          <w:sz w:val="24"/>
        </w:rPr>
        <w:t>Real Estate Equity Strategies, LLC v. Jones</w:t>
      </w:r>
      <w:r>
        <w:rPr>
          <w:sz w:val="24"/>
        </w:rPr>
        <w:t>, 720 N.W.2d 352 (Minn. </w:t>
      </w:r>
      <w:r>
        <w:rPr>
          <w:spacing w:val="-6"/>
          <w:sz w:val="24"/>
        </w:rPr>
        <w:t>Ct. </w:t>
      </w:r>
      <w:r>
        <w:rPr>
          <w:sz w:val="24"/>
        </w:rPr>
        <w:t>App. 2006); </w:t>
      </w:r>
      <w:r>
        <w:rPr>
          <w:i/>
          <w:sz w:val="24"/>
        </w:rPr>
        <w:t>Lilyerd v. Carlson</w:t>
      </w:r>
      <w:r>
        <w:rPr>
          <w:sz w:val="24"/>
        </w:rPr>
        <w:t>, 499 N.W.2d 803, 807, 812 (Minn. Ct. App. 1993); Minn. Stat. §</w:t>
      </w:r>
      <w:r>
        <w:rPr>
          <w:spacing w:val="-1"/>
          <w:sz w:val="24"/>
        </w:rPr>
        <w:t> </w:t>
      </w:r>
      <w:r>
        <w:rPr>
          <w:sz w:val="24"/>
        </w:rPr>
        <w:t>504B.121.</w:t>
      </w:r>
    </w:p>
    <w:p>
      <w:pPr>
        <w:pStyle w:val="BodyText"/>
        <w:spacing w:before="5"/>
        <w:rPr>
          <w:sz w:val="21"/>
        </w:rPr>
      </w:pPr>
    </w:p>
    <w:p>
      <w:pPr>
        <w:pStyle w:val="ListParagraph"/>
        <w:numPr>
          <w:ilvl w:val="1"/>
          <w:numId w:val="4"/>
        </w:numPr>
        <w:tabs>
          <w:tab w:pos="2259" w:val="left" w:leader="none"/>
          <w:tab w:pos="2260" w:val="left" w:leader="none"/>
          <w:tab w:pos="2979" w:val="left" w:leader="none"/>
        </w:tabs>
        <w:spacing w:line="211" w:lineRule="auto" w:before="0" w:after="0"/>
        <w:ind w:left="2980" w:right="217" w:hanging="1440"/>
        <w:jc w:val="left"/>
        <w:rPr>
          <w:sz w:val="24"/>
        </w:rPr>
      </w:pPr>
      <w:r>
        <w:rPr>
          <w:rFonts w:ascii="Arial" w:hAnsi="Arial"/>
          <w:sz w:val="24"/>
        </w:rPr>
        <w:t>G</w:t>
        <w:tab/>
      </w:r>
      <w:r>
        <w:rPr>
          <w:sz w:val="24"/>
        </w:rPr>
        <w:t>Plaintiff entered into a foreclosure reconveyance in violation of Minn. Stat. § 325N.10-.18, or involving fraudulent, misleading </w:t>
      </w:r>
      <w:r>
        <w:rPr>
          <w:spacing w:val="-9"/>
          <w:sz w:val="24"/>
        </w:rPr>
        <w:t>or </w:t>
      </w:r>
      <w:r>
        <w:rPr>
          <w:sz w:val="24"/>
        </w:rPr>
        <w:t>other deceptive practices. I owned the property, conveyed title to another party to avoid foreclosure, and I have continued to </w:t>
      </w:r>
      <w:r>
        <w:rPr>
          <w:spacing w:val="-3"/>
          <w:sz w:val="24"/>
        </w:rPr>
        <w:t>occupy </w:t>
      </w:r>
      <w:r>
        <w:rPr>
          <w:sz w:val="24"/>
        </w:rPr>
        <w:t>the property. I request a stay of this action without bond for 90 </w:t>
      </w:r>
      <w:r>
        <w:rPr>
          <w:spacing w:val="-3"/>
          <w:sz w:val="24"/>
        </w:rPr>
        <w:t>days </w:t>
      </w:r>
      <w:r>
        <w:rPr>
          <w:sz w:val="24"/>
        </w:rPr>
        <w:t>to allow me to file an action to challenge the foreclosure reconveyance. Minn. Stat. §</w:t>
      </w:r>
      <w:r>
        <w:rPr>
          <w:spacing w:val="58"/>
          <w:sz w:val="24"/>
        </w:rPr>
        <w:t> </w:t>
      </w:r>
      <w:r>
        <w:rPr>
          <w:sz w:val="24"/>
        </w:rPr>
        <w:t>325N.18.</w:t>
      </w:r>
    </w:p>
    <w:p>
      <w:pPr>
        <w:pStyle w:val="BodyText"/>
        <w:spacing w:before="6"/>
        <w:rPr>
          <w:sz w:val="21"/>
        </w:rPr>
      </w:pPr>
    </w:p>
    <w:p>
      <w:pPr>
        <w:pStyle w:val="ListParagraph"/>
        <w:numPr>
          <w:ilvl w:val="1"/>
          <w:numId w:val="4"/>
        </w:numPr>
        <w:tabs>
          <w:tab w:pos="2259" w:val="left" w:leader="none"/>
          <w:tab w:pos="2260" w:val="left" w:leader="none"/>
          <w:tab w:pos="2979" w:val="left" w:leader="none"/>
        </w:tabs>
        <w:spacing w:line="211" w:lineRule="auto" w:before="0" w:after="0"/>
        <w:ind w:left="2980" w:right="204" w:hanging="1440"/>
        <w:jc w:val="left"/>
        <w:rPr>
          <w:sz w:val="24"/>
        </w:rPr>
      </w:pPr>
      <w:r>
        <w:rPr>
          <w:rFonts w:ascii="Arial" w:hAnsi="Arial"/>
          <w:sz w:val="24"/>
        </w:rPr>
        <w:t>G</w:t>
        <w:tab/>
      </w:r>
      <w:r>
        <w:rPr>
          <w:sz w:val="24"/>
        </w:rPr>
        <w:t>I am a tenant of the person whose mortgage was foreclosed.</w:t>
      </w:r>
      <w:r>
        <w:rPr>
          <w:spacing w:val="-20"/>
          <w:sz w:val="24"/>
        </w:rPr>
        <w:t> </w:t>
      </w:r>
      <w:r>
        <w:rPr>
          <w:spacing w:val="-3"/>
          <w:sz w:val="24"/>
        </w:rPr>
        <w:t>Minn. </w:t>
      </w:r>
      <w:r>
        <w:rPr>
          <w:sz w:val="24"/>
        </w:rPr>
        <w:t>Stat. § 504B.285, subd.</w:t>
      </w:r>
      <w:r>
        <w:rPr>
          <w:spacing w:val="-1"/>
          <w:sz w:val="24"/>
        </w:rPr>
        <w:t> </w:t>
      </w:r>
      <w:r>
        <w:rPr>
          <w:sz w:val="24"/>
        </w:rPr>
        <w:t>1a.</w:t>
      </w:r>
    </w:p>
    <w:p>
      <w:pPr>
        <w:pStyle w:val="BodyText"/>
        <w:spacing w:before="1"/>
        <w:rPr>
          <w:sz w:val="21"/>
        </w:rPr>
      </w:pPr>
    </w:p>
    <w:p>
      <w:pPr>
        <w:pStyle w:val="ListParagraph"/>
        <w:numPr>
          <w:ilvl w:val="2"/>
          <w:numId w:val="4"/>
        </w:numPr>
        <w:tabs>
          <w:tab w:pos="2979" w:val="left" w:leader="none"/>
          <w:tab w:pos="2980" w:val="left" w:leader="none"/>
          <w:tab w:pos="3699" w:val="left" w:leader="none"/>
        </w:tabs>
        <w:spacing w:line="211" w:lineRule="auto" w:before="1" w:after="0"/>
        <w:ind w:left="3700" w:right="184" w:hanging="1440"/>
        <w:jc w:val="left"/>
        <w:rPr>
          <w:sz w:val="24"/>
        </w:rPr>
      </w:pPr>
      <w:r>
        <w:rPr>
          <w:rFonts w:ascii="Arial" w:hAnsi="Arial"/>
          <w:sz w:val="24"/>
        </w:rPr>
        <w:t>G</w:t>
        <w:tab/>
      </w:r>
      <w:r>
        <w:rPr>
          <w:sz w:val="24"/>
        </w:rPr>
        <w:t>My lease began after the date the mortgage was executed and prior to the expiration of the redemption period. The immediate successor in interest must provide at least 90 days’ written notice to vacate, given no sooner than the expiration of the redemption period, and effective no </w:t>
      </w:r>
      <w:r>
        <w:rPr>
          <w:spacing w:val="-4"/>
          <w:sz w:val="24"/>
        </w:rPr>
        <w:t>soon- </w:t>
      </w:r>
      <w:r>
        <w:rPr>
          <w:sz w:val="24"/>
        </w:rPr>
        <w:t>er than 90 </w:t>
      </w:r>
      <w:r>
        <w:rPr>
          <w:spacing w:val="-3"/>
          <w:sz w:val="24"/>
        </w:rPr>
        <w:t>days </w:t>
      </w:r>
      <w:r>
        <w:rPr>
          <w:sz w:val="24"/>
        </w:rPr>
        <w:t>from the expiration of the redemption pe- riod.</w:t>
      </w:r>
    </w:p>
    <w:p>
      <w:pPr>
        <w:pStyle w:val="BodyText"/>
        <w:tabs>
          <w:tab w:pos="2979" w:val="left" w:leader="none"/>
          <w:tab w:pos="3699" w:val="left" w:leader="none"/>
        </w:tabs>
        <w:spacing w:line="211" w:lineRule="auto" w:before="5"/>
        <w:ind w:left="3700" w:right="183" w:hanging="1440"/>
      </w:pPr>
      <w:r>
        <w:rPr/>
        <w:t>ii.</w:t>
        <w:tab/>
      </w:r>
      <w:r>
        <w:rPr>
          <w:rFonts w:ascii="Arial"/>
        </w:rPr>
        <w:t>G</w:t>
        <w:tab/>
      </w:r>
      <w:r>
        <w:rPr/>
        <w:t>I have a bona fide lease that extends more than 90 </w:t>
      </w:r>
      <w:r>
        <w:rPr>
          <w:spacing w:val="-3"/>
        </w:rPr>
        <w:t>days </w:t>
      </w:r>
      <w:r>
        <w:rPr/>
        <w:t>beyond the date the redemption period expires. I am not a child, spouse, or parent of the mortgagor, my lease </w:t>
      </w:r>
      <w:r>
        <w:rPr>
          <w:spacing w:val="-3"/>
        </w:rPr>
        <w:t>resulted </w:t>
      </w:r>
      <w:r>
        <w:rPr/>
        <w:t>from an arms-length transaction, my rent is not substan- tially less than fair market rent, and there is no new owner who will occupy the property as a primary residence. I can stay until the end of the lease</w:t>
      </w:r>
      <w:r>
        <w:rPr>
          <w:spacing w:val="-8"/>
        </w:rPr>
        <w:t> </w:t>
      </w:r>
      <w:r>
        <w:rPr/>
        <w:t>term.</w:t>
      </w:r>
    </w:p>
    <w:p>
      <w:pPr>
        <w:pStyle w:val="BodyText"/>
        <w:spacing w:before="6"/>
        <w:rPr>
          <w:sz w:val="21"/>
        </w:rPr>
      </w:pPr>
    </w:p>
    <w:p>
      <w:pPr>
        <w:pStyle w:val="ListParagraph"/>
        <w:numPr>
          <w:ilvl w:val="1"/>
          <w:numId w:val="4"/>
        </w:numPr>
        <w:tabs>
          <w:tab w:pos="2260" w:val="left" w:leader="none"/>
        </w:tabs>
        <w:spacing w:line="211" w:lineRule="auto" w:before="0" w:after="0"/>
        <w:ind w:left="2980" w:right="272" w:hanging="1440"/>
        <w:jc w:val="both"/>
        <w:rPr>
          <w:sz w:val="24"/>
        </w:rPr>
      </w:pPr>
      <w:r>
        <w:rPr>
          <w:rFonts w:ascii="Arial" w:hAnsi="Arial"/>
          <w:sz w:val="24"/>
        </w:rPr>
        <w:t>G </w:t>
      </w:r>
      <w:r>
        <w:rPr>
          <w:sz w:val="24"/>
        </w:rPr>
        <w:t>I am a tenant of the person whose contract for deed was canceled. Plaintiff did not give me a two month written notice before filing this action. </w:t>
      </w:r>
      <w:r>
        <w:rPr>
          <w:spacing w:val="-3"/>
          <w:sz w:val="24"/>
        </w:rPr>
        <w:t>M</w:t>
      </w:r>
      <w:r>
        <w:rPr>
          <w:spacing w:val="-3"/>
          <w:sz w:val="20"/>
        </w:rPr>
        <w:t>INN</w:t>
      </w:r>
      <w:r>
        <w:rPr>
          <w:spacing w:val="-3"/>
          <w:sz w:val="24"/>
        </w:rPr>
        <w:t>. </w:t>
      </w:r>
      <w:r>
        <w:rPr>
          <w:sz w:val="24"/>
        </w:rPr>
        <w:t>S</w:t>
      </w:r>
      <w:r>
        <w:rPr>
          <w:sz w:val="20"/>
        </w:rPr>
        <w:t>TAT</w:t>
      </w:r>
      <w:r>
        <w:rPr>
          <w:sz w:val="24"/>
        </w:rPr>
        <w:t>. § 504B.285, subd.</w:t>
      </w:r>
      <w:r>
        <w:rPr>
          <w:spacing w:val="-12"/>
          <w:sz w:val="24"/>
        </w:rPr>
        <w:t> </w:t>
      </w:r>
      <w:r>
        <w:rPr>
          <w:sz w:val="24"/>
        </w:rPr>
        <w:t>1b.</w:t>
      </w:r>
    </w:p>
    <w:p>
      <w:pPr>
        <w:pStyle w:val="BodyText"/>
        <w:spacing w:before="11"/>
        <w:rPr>
          <w:sz w:val="18"/>
        </w:rPr>
      </w:pPr>
    </w:p>
    <w:p>
      <w:pPr>
        <w:pStyle w:val="ListParagraph"/>
        <w:numPr>
          <w:ilvl w:val="0"/>
          <w:numId w:val="4"/>
        </w:numPr>
        <w:tabs>
          <w:tab w:pos="1208" w:val="left" w:leader="none"/>
          <w:tab w:pos="1209" w:val="left" w:leader="none"/>
          <w:tab w:pos="9293" w:val="left" w:leader="none"/>
        </w:tabs>
        <w:spacing w:line="240" w:lineRule="auto" w:before="0" w:after="0"/>
        <w:ind w:left="1208" w:right="0" w:hanging="389"/>
        <w:jc w:val="left"/>
        <w:rPr>
          <w:sz w:val="24"/>
        </w:rPr>
      </w:pPr>
      <w:r>
        <w:rPr>
          <w:rFonts w:ascii="Arial"/>
          <w:sz w:val="24"/>
        </w:rPr>
        <w:t>G </w:t>
      </w:r>
      <w:r>
        <w:rPr>
          <w:rFonts w:ascii="Arial"/>
          <w:spacing w:val="10"/>
          <w:sz w:val="24"/>
        </w:rPr>
        <w:t> </w:t>
      </w:r>
      <w:r>
        <w:rPr>
          <w:sz w:val="24"/>
        </w:rPr>
        <w:t>Other:</w:t>
      </w:r>
      <w:r>
        <w:rPr>
          <w:sz w:val="24"/>
          <w:u w:val="single"/>
        </w:rPr>
        <w:t> </w:t>
        <w:tab/>
      </w:r>
      <w:r>
        <w:rPr>
          <w:sz w:val="24"/>
        </w:rPr>
        <w:t>.</w:t>
      </w:r>
    </w:p>
    <w:p>
      <w:pPr>
        <w:pStyle w:val="BodyText"/>
      </w:pPr>
    </w:p>
    <w:p>
      <w:pPr>
        <w:pStyle w:val="Heading1"/>
        <w:numPr>
          <w:ilvl w:val="0"/>
          <w:numId w:val="3"/>
        </w:numPr>
        <w:tabs>
          <w:tab w:pos="819" w:val="left" w:leader="none"/>
          <w:tab w:pos="820" w:val="left" w:leader="none"/>
        </w:tabs>
        <w:spacing w:line="240" w:lineRule="auto" w:before="183" w:after="0"/>
        <w:ind w:left="820" w:right="0" w:hanging="720"/>
        <w:jc w:val="left"/>
      </w:pPr>
      <w:r>
        <w:rPr/>
        <w:t>BREACH OF LEASE</w:t>
      </w:r>
      <w:r>
        <w:rPr>
          <w:spacing w:val="-2"/>
        </w:rPr>
        <w:t> </w:t>
      </w:r>
      <w:r>
        <w:rPr/>
        <w:t>CASES</w:t>
      </w:r>
    </w:p>
    <w:p>
      <w:pPr>
        <w:spacing w:after="0" w:line="240" w:lineRule="auto"/>
        <w:jc w:val="left"/>
        <w:sectPr>
          <w:pgSz w:w="12240" w:h="15840"/>
          <w:pgMar w:header="0" w:footer="1121" w:top="1040" w:bottom="1320" w:left="1340" w:right="1340"/>
        </w:sectPr>
      </w:pPr>
    </w:p>
    <w:p>
      <w:pPr>
        <w:pStyle w:val="ListParagraph"/>
        <w:numPr>
          <w:ilvl w:val="0"/>
          <w:numId w:val="5"/>
        </w:numPr>
        <w:tabs>
          <w:tab w:pos="1208" w:val="left" w:leader="none"/>
          <w:tab w:pos="1209" w:val="left" w:leader="none"/>
        </w:tabs>
        <w:spacing w:line="211" w:lineRule="auto" w:before="67" w:after="0"/>
        <w:ind w:left="1540" w:right="196" w:hanging="720"/>
        <w:jc w:val="left"/>
        <w:rPr>
          <w:sz w:val="24"/>
        </w:rPr>
      </w:pPr>
      <w:r>
        <w:rPr>
          <w:rFonts w:ascii="Arial" w:hAnsi="Arial"/>
          <w:sz w:val="24"/>
        </w:rPr>
        <w:t>G </w:t>
      </w:r>
      <w:r>
        <w:rPr>
          <w:sz w:val="24"/>
        </w:rPr>
        <w:t>Under Executive Order 20-14 as amended by Executive Order 20-73, evictions are prohibited except where the tenant seriously endangers the safety</w:t>
      </w:r>
      <w:r>
        <w:rPr>
          <w:spacing w:val="-46"/>
          <w:sz w:val="24"/>
        </w:rPr>
        <w:t> </w:t>
      </w:r>
      <w:r>
        <w:rPr>
          <w:sz w:val="24"/>
        </w:rPr>
        <w:t>of residents, where the tenant seriously endangers the safety of others on the premises, includ- ing the common area and the curtilage of the premises, if the serious endanger- ment of others who are not residents is a material violation of the lease, or for violations of Minn. Stat. § 504B.171, Subd. 1. Xxxx</w:t>
      </w:r>
    </w:p>
    <w:p>
      <w:pPr>
        <w:pStyle w:val="BodyText"/>
        <w:rPr>
          <w:sz w:val="19"/>
        </w:rPr>
      </w:pPr>
    </w:p>
    <w:p>
      <w:pPr>
        <w:pStyle w:val="ListParagraph"/>
        <w:numPr>
          <w:ilvl w:val="1"/>
          <w:numId w:val="5"/>
        </w:numPr>
        <w:tabs>
          <w:tab w:pos="2259" w:val="left" w:leader="none"/>
          <w:tab w:pos="2260" w:val="left" w:leader="none"/>
          <w:tab w:pos="2979" w:val="left" w:leader="none"/>
        </w:tabs>
        <w:spacing w:line="261" w:lineRule="exact" w:before="0" w:after="0"/>
        <w:ind w:left="2260" w:right="0" w:hanging="720"/>
        <w:jc w:val="left"/>
        <w:rPr>
          <w:sz w:val="24"/>
        </w:rPr>
      </w:pPr>
      <w:r>
        <w:rPr>
          <w:rFonts w:ascii="Arial"/>
          <w:sz w:val="24"/>
        </w:rPr>
        <w:t>G</w:t>
        <w:tab/>
      </w:r>
      <w:r>
        <w:rPr>
          <w:sz w:val="24"/>
        </w:rPr>
        <w:t>I did not seriously endanger the safety of other</w:t>
      </w:r>
      <w:r>
        <w:rPr>
          <w:spacing w:val="-28"/>
          <w:sz w:val="24"/>
        </w:rPr>
        <w:t> </w:t>
      </w:r>
      <w:r>
        <w:rPr>
          <w:sz w:val="24"/>
        </w:rPr>
        <w:t>residents.</w:t>
      </w:r>
    </w:p>
    <w:p>
      <w:pPr>
        <w:pStyle w:val="ListParagraph"/>
        <w:numPr>
          <w:ilvl w:val="1"/>
          <w:numId w:val="5"/>
        </w:numPr>
        <w:tabs>
          <w:tab w:pos="2259" w:val="left" w:leader="none"/>
          <w:tab w:pos="2260" w:val="left" w:leader="none"/>
          <w:tab w:pos="2979" w:val="left" w:leader="none"/>
        </w:tabs>
        <w:spacing w:line="211" w:lineRule="auto" w:before="11" w:after="0"/>
        <w:ind w:left="2980" w:right="237" w:hanging="1440"/>
        <w:jc w:val="left"/>
        <w:rPr>
          <w:sz w:val="24"/>
        </w:rPr>
      </w:pPr>
      <w:r>
        <w:rPr>
          <w:rFonts w:ascii="Arial"/>
          <w:sz w:val="24"/>
        </w:rPr>
        <w:t>G</w:t>
        <w:tab/>
      </w:r>
      <w:r>
        <w:rPr>
          <w:sz w:val="24"/>
        </w:rPr>
        <w:t>I did not seriously endanger the safety of others on the premises, including the common area and the curtilage of the premises, or serious endangerment of others who are not residents is a </w:t>
      </w:r>
      <w:r>
        <w:rPr>
          <w:spacing w:val="-3"/>
          <w:sz w:val="24"/>
        </w:rPr>
        <w:t>material </w:t>
      </w:r>
      <w:r>
        <w:rPr>
          <w:sz w:val="24"/>
        </w:rPr>
        <w:t>violation of the lease</w:t>
      </w:r>
    </w:p>
    <w:p>
      <w:pPr>
        <w:pStyle w:val="ListParagraph"/>
        <w:numPr>
          <w:ilvl w:val="1"/>
          <w:numId w:val="5"/>
        </w:numPr>
        <w:tabs>
          <w:tab w:pos="2259" w:val="left" w:leader="none"/>
          <w:tab w:pos="2260" w:val="left" w:leader="none"/>
          <w:tab w:pos="2979" w:val="left" w:leader="none"/>
        </w:tabs>
        <w:spacing w:line="252" w:lineRule="exact" w:before="0" w:after="0"/>
        <w:ind w:left="2260" w:right="0" w:hanging="720"/>
        <w:jc w:val="left"/>
        <w:rPr>
          <w:sz w:val="24"/>
        </w:rPr>
      </w:pPr>
      <w:r>
        <w:rPr>
          <w:rFonts w:ascii="Arial" w:hAnsi="Arial"/>
          <w:sz w:val="24"/>
        </w:rPr>
        <w:t>G</w:t>
        <w:tab/>
      </w:r>
      <w:r>
        <w:rPr>
          <w:sz w:val="24"/>
        </w:rPr>
        <w:t>I did not violate Minn. Stat. § 504B.171, Subd.</w:t>
      </w:r>
      <w:r>
        <w:rPr>
          <w:spacing w:val="-6"/>
          <w:sz w:val="24"/>
        </w:rPr>
        <w:t> </w:t>
      </w:r>
      <w:r>
        <w:rPr>
          <w:sz w:val="24"/>
        </w:rPr>
        <w:t>1.</w:t>
      </w:r>
    </w:p>
    <w:p>
      <w:pPr>
        <w:pStyle w:val="BodyText"/>
        <w:spacing w:before="7"/>
        <w:rPr>
          <w:sz w:val="20"/>
        </w:rPr>
      </w:pPr>
    </w:p>
    <w:p>
      <w:pPr>
        <w:pStyle w:val="ListParagraph"/>
        <w:numPr>
          <w:ilvl w:val="0"/>
          <w:numId w:val="5"/>
        </w:numPr>
        <w:tabs>
          <w:tab w:pos="1208" w:val="left" w:leader="none"/>
          <w:tab w:pos="1209" w:val="left" w:leader="none"/>
        </w:tabs>
        <w:spacing w:line="211" w:lineRule="auto" w:before="0" w:after="0"/>
        <w:ind w:left="1540" w:right="181" w:hanging="720"/>
        <w:jc w:val="left"/>
        <w:rPr>
          <w:sz w:val="24"/>
        </w:rPr>
      </w:pPr>
      <w:r>
        <w:rPr>
          <w:rFonts w:ascii="Arial"/>
          <w:sz w:val="24"/>
        </w:rPr>
        <w:t>G </w:t>
      </w:r>
      <w:r>
        <w:rPr>
          <w:sz w:val="24"/>
        </w:rPr>
        <w:t>Hennepin and Ramsey Housing Courts: Plaintiff alleges breaches of the lease. Plaintiff did not attach a copy of the lease to the complaint. Plaintiff must </w:t>
      </w:r>
      <w:r>
        <w:rPr>
          <w:spacing w:val="-3"/>
          <w:sz w:val="24"/>
        </w:rPr>
        <w:t>provide </w:t>
      </w:r>
      <w:r>
        <w:rPr>
          <w:sz w:val="24"/>
        </w:rPr>
        <w:t>a copy of the lease to me at the hearing. Minn. Gen. R. Prac.</w:t>
      </w:r>
      <w:r>
        <w:rPr>
          <w:spacing w:val="-14"/>
          <w:sz w:val="24"/>
        </w:rPr>
        <w:t> </w:t>
      </w:r>
      <w:r>
        <w:rPr>
          <w:sz w:val="24"/>
        </w:rPr>
        <w:t>604(d).</w:t>
      </w:r>
    </w:p>
    <w:p>
      <w:pPr>
        <w:pStyle w:val="BodyText"/>
        <w:spacing w:before="3"/>
        <w:rPr>
          <w:sz w:val="21"/>
        </w:rPr>
      </w:pPr>
    </w:p>
    <w:p>
      <w:pPr>
        <w:pStyle w:val="ListParagraph"/>
        <w:numPr>
          <w:ilvl w:val="0"/>
          <w:numId w:val="5"/>
        </w:numPr>
        <w:tabs>
          <w:tab w:pos="1208" w:val="left" w:leader="none"/>
          <w:tab w:pos="1209" w:val="left" w:leader="none"/>
        </w:tabs>
        <w:spacing w:line="211" w:lineRule="auto" w:before="1" w:after="0"/>
        <w:ind w:left="1540" w:right="139" w:hanging="720"/>
        <w:jc w:val="left"/>
        <w:rPr>
          <w:sz w:val="24"/>
        </w:rPr>
      </w:pPr>
      <w:r>
        <w:rPr>
          <w:rFonts w:ascii="Arial"/>
          <w:sz w:val="24"/>
        </w:rPr>
        <w:t>G </w:t>
      </w:r>
      <w:r>
        <w:rPr>
          <w:sz w:val="24"/>
        </w:rPr>
        <w:t>I did not commit a material breach or substantial failure to perform under the lease. </w:t>
      </w:r>
      <w:r>
        <w:rPr>
          <w:i/>
          <w:sz w:val="24"/>
        </w:rPr>
        <w:t>Cloverdale Foods of Minnesota, Inc., </w:t>
      </w:r>
      <w:r>
        <w:rPr>
          <w:sz w:val="24"/>
        </w:rPr>
        <w:t>580 N.W.2d 46, 49 (Minn. Ct. App. 1998); </w:t>
      </w:r>
      <w:r>
        <w:rPr>
          <w:i/>
          <w:sz w:val="24"/>
        </w:rPr>
        <w:t>Skogberg v. Huisman</w:t>
      </w:r>
      <w:r>
        <w:rPr>
          <w:sz w:val="24"/>
        </w:rPr>
        <w:t>, No. C7-02-2059, 2003 WL 22014576 (Minn. Ct. App. Aug. 2003) (unpublished) (a material breach </w:t>
      </w:r>
      <w:r>
        <w:rPr>
          <w:spacing w:val="-3"/>
          <w:sz w:val="24"/>
        </w:rPr>
        <w:t>goes </w:t>
      </w:r>
      <w:r>
        <w:rPr>
          <w:sz w:val="24"/>
        </w:rPr>
        <w:t>to the root or essence of the contract, so substantial and fundamental that it defeats the object of the </w:t>
      </w:r>
      <w:r>
        <w:rPr>
          <w:spacing w:val="-3"/>
          <w:sz w:val="24"/>
        </w:rPr>
        <w:t>parties </w:t>
      </w:r>
      <w:r>
        <w:rPr>
          <w:sz w:val="24"/>
        </w:rPr>
        <w:t>in entering into the contract, and where the injury is irreparable or damages</w:t>
      </w:r>
      <w:r>
        <w:rPr>
          <w:spacing w:val="-26"/>
          <w:sz w:val="24"/>
        </w:rPr>
        <w:t> </w:t>
      </w:r>
      <w:r>
        <w:rPr>
          <w:sz w:val="24"/>
        </w:rPr>
        <w:t>would be inadequate or difficult or impossible to determine).</w:t>
      </w:r>
    </w:p>
    <w:p>
      <w:pPr>
        <w:pStyle w:val="BodyText"/>
        <w:spacing w:before="6"/>
        <w:rPr>
          <w:sz w:val="21"/>
        </w:rPr>
      </w:pPr>
    </w:p>
    <w:p>
      <w:pPr>
        <w:pStyle w:val="ListParagraph"/>
        <w:numPr>
          <w:ilvl w:val="0"/>
          <w:numId w:val="5"/>
        </w:numPr>
        <w:tabs>
          <w:tab w:pos="1208" w:val="left" w:leader="none"/>
          <w:tab w:pos="1209" w:val="left" w:leader="none"/>
        </w:tabs>
        <w:spacing w:line="211" w:lineRule="auto" w:before="0" w:after="0"/>
        <w:ind w:left="1540" w:right="191" w:hanging="720"/>
        <w:jc w:val="left"/>
        <w:rPr>
          <w:sz w:val="24"/>
        </w:rPr>
      </w:pPr>
      <w:r>
        <w:rPr>
          <w:rFonts w:ascii="Arial" w:hAnsi="Arial"/>
          <w:sz w:val="24"/>
        </w:rPr>
        <w:t>G </w:t>
      </w:r>
      <w:r>
        <w:rPr>
          <w:sz w:val="24"/>
        </w:rPr>
        <w:t>Plaintiff filed an expedited case, and alleges that I am involved with illegal </w:t>
      </w:r>
      <w:r>
        <w:rPr>
          <w:spacing w:val="-4"/>
          <w:sz w:val="24"/>
        </w:rPr>
        <w:t>drugs, </w:t>
      </w:r>
      <w:r>
        <w:rPr>
          <w:sz w:val="24"/>
        </w:rPr>
        <w:t>prostitution related activities, unlawful firearm possession, or nuisance or other illegal behavior that seriously endangers the safety of other residents, their property, or the landlord's property. I did not do this. Minn. Stat. § 504B.321 (formerly §</w:t>
      </w:r>
      <w:r>
        <w:rPr>
          <w:spacing w:val="-11"/>
          <w:sz w:val="24"/>
        </w:rPr>
        <w:t> </w:t>
      </w:r>
      <w:r>
        <w:rPr>
          <w:sz w:val="24"/>
        </w:rPr>
        <w:t>566.05).</w:t>
      </w:r>
    </w:p>
    <w:p>
      <w:pPr>
        <w:pStyle w:val="BodyText"/>
        <w:spacing w:before="4"/>
        <w:rPr>
          <w:sz w:val="21"/>
        </w:rPr>
      </w:pPr>
    </w:p>
    <w:p>
      <w:pPr>
        <w:pStyle w:val="ListParagraph"/>
        <w:numPr>
          <w:ilvl w:val="0"/>
          <w:numId w:val="5"/>
        </w:numPr>
        <w:tabs>
          <w:tab w:pos="1208" w:val="left" w:leader="none"/>
          <w:tab w:pos="1209" w:val="left" w:leader="none"/>
        </w:tabs>
        <w:spacing w:line="211" w:lineRule="auto" w:before="1" w:after="0"/>
        <w:ind w:left="1540" w:right="192" w:hanging="720"/>
        <w:jc w:val="left"/>
        <w:rPr>
          <w:sz w:val="24"/>
        </w:rPr>
      </w:pPr>
      <w:r>
        <w:rPr>
          <w:rFonts w:ascii="Arial" w:hAnsi="Arial"/>
          <w:sz w:val="24"/>
        </w:rPr>
        <w:t>G </w:t>
      </w:r>
      <w:r>
        <w:rPr>
          <w:sz w:val="24"/>
        </w:rPr>
        <w:t>Plaintiff did not give me a copy of the lease before filing this case. This case </w:t>
      </w:r>
      <w:r>
        <w:rPr>
          <w:spacing w:val="-4"/>
          <w:sz w:val="24"/>
        </w:rPr>
        <w:t>does </w:t>
      </w:r>
      <w:r>
        <w:rPr>
          <w:sz w:val="24"/>
        </w:rPr>
        <w:t>not involve disturbing the peace, malicious destruction of property, or illegal drugs. Minn. Stat. § 504B.115 (formerly §</w:t>
      </w:r>
      <w:r>
        <w:rPr>
          <w:spacing w:val="-13"/>
          <w:sz w:val="24"/>
        </w:rPr>
        <w:t> </w:t>
      </w:r>
      <w:r>
        <w:rPr>
          <w:sz w:val="24"/>
        </w:rPr>
        <w:t>504.015).</w:t>
      </w:r>
    </w:p>
    <w:p>
      <w:pPr>
        <w:pStyle w:val="BodyText"/>
        <w:spacing w:before="3"/>
        <w:rPr>
          <w:sz w:val="21"/>
        </w:rPr>
      </w:pPr>
    </w:p>
    <w:p>
      <w:pPr>
        <w:pStyle w:val="ListParagraph"/>
        <w:numPr>
          <w:ilvl w:val="0"/>
          <w:numId w:val="5"/>
        </w:numPr>
        <w:tabs>
          <w:tab w:pos="1208" w:val="left" w:leader="none"/>
          <w:tab w:pos="1209" w:val="left" w:leader="none"/>
        </w:tabs>
        <w:spacing w:line="211" w:lineRule="auto" w:before="0" w:after="0"/>
        <w:ind w:left="1540" w:right="277" w:hanging="720"/>
        <w:jc w:val="left"/>
        <w:rPr>
          <w:sz w:val="24"/>
        </w:rPr>
      </w:pPr>
      <w:r>
        <w:rPr>
          <w:rFonts w:ascii="Arial"/>
          <w:sz w:val="24"/>
        </w:rPr>
        <w:t>G </w:t>
      </w:r>
      <w:r>
        <w:rPr>
          <w:sz w:val="24"/>
        </w:rPr>
        <w:t>The lease does not contain a "right of reentry" clause. </w:t>
      </w:r>
      <w:r>
        <w:rPr>
          <w:i/>
          <w:sz w:val="24"/>
        </w:rPr>
        <w:t>Bauer v. Knoble</w:t>
      </w:r>
      <w:r>
        <w:rPr>
          <w:sz w:val="24"/>
        </w:rPr>
        <w:t>, 51 </w:t>
      </w:r>
      <w:r>
        <w:rPr>
          <w:spacing w:val="-3"/>
          <w:sz w:val="24"/>
        </w:rPr>
        <w:t>Minn. </w:t>
      </w:r>
      <w:r>
        <w:rPr>
          <w:sz w:val="24"/>
        </w:rPr>
        <w:t>358, 359, 53 N.W. 805, 805 (1892).</w:t>
      </w:r>
    </w:p>
    <w:p>
      <w:pPr>
        <w:pStyle w:val="BodyText"/>
        <w:spacing w:before="9"/>
        <w:rPr>
          <w:sz w:val="18"/>
        </w:rPr>
      </w:pPr>
    </w:p>
    <w:p>
      <w:pPr>
        <w:pStyle w:val="ListParagraph"/>
        <w:numPr>
          <w:ilvl w:val="0"/>
          <w:numId w:val="5"/>
        </w:numPr>
        <w:tabs>
          <w:tab w:pos="1208" w:val="left" w:leader="none"/>
          <w:tab w:pos="1209" w:val="left" w:leader="none"/>
        </w:tabs>
        <w:spacing w:line="240" w:lineRule="auto" w:before="0" w:after="0"/>
        <w:ind w:left="1208" w:right="0" w:hanging="389"/>
        <w:jc w:val="left"/>
        <w:rPr>
          <w:sz w:val="24"/>
        </w:rPr>
      </w:pPr>
      <w:r>
        <w:rPr>
          <w:rFonts w:ascii="Arial"/>
          <w:sz w:val="24"/>
        </w:rPr>
        <w:t>G </w:t>
      </w:r>
      <w:r>
        <w:rPr>
          <w:sz w:val="24"/>
        </w:rPr>
        <w:t>The lease is oral and only provides for payment of</w:t>
      </w:r>
      <w:r>
        <w:rPr>
          <w:spacing w:val="-9"/>
          <w:sz w:val="24"/>
        </w:rPr>
        <w:t> </w:t>
      </w:r>
      <w:r>
        <w:rPr>
          <w:sz w:val="24"/>
        </w:rPr>
        <w:t>rent.</w:t>
      </w:r>
    </w:p>
    <w:p>
      <w:pPr>
        <w:pStyle w:val="BodyText"/>
        <w:spacing w:before="5"/>
        <w:rPr>
          <w:sz w:val="20"/>
        </w:rPr>
      </w:pPr>
    </w:p>
    <w:p>
      <w:pPr>
        <w:pStyle w:val="ListParagraph"/>
        <w:numPr>
          <w:ilvl w:val="0"/>
          <w:numId w:val="5"/>
        </w:numPr>
        <w:tabs>
          <w:tab w:pos="1208" w:val="left" w:leader="none"/>
          <w:tab w:pos="1209" w:val="left" w:leader="none"/>
        </w:tabs>
        <w:spacing w:line="213" w:lineRule="auto" w:before="0" w:after="0"/>
        <w:ind w:left="1540" w:right="418" w:hanging="720"/>
        <w:jc w:val="left"/>
        <w:rPr>
          <w:sz w:val="24"/>
        </w:rPr>
      </w:pPr>
      <w:r>
        <w:rPr>
          <w:rFonts w:ascii="Arial"/>
          <w:sz w:val="24"/>
        </w:rPr>
        <w:t>G </w:t>
      </w:r>
      <w:r>
        <w:rPr>
          <w:sz w:val="24"/>
        </w:rPr>
        <w:t>Plaintiff waived lease provisions by failing to enforce them or is estopped </w:t>
      </w:r>
      <w:r>
        <w:rPr>
          <w:spacing w:val="-4"/>
          <w:sz w:val="24"/>
        </w:rPr>
        <w:t>from </w:t>
      </w:r>
      <w:r>
        <w:rPr>
          <w:sz w:val="24"/>
        </w:rPr>
        <w:t>enforcing them. </w:t>
      </w:r>
      <w:r>
        <w:rPr>
          <w:i/>
          <w:sz w:val="24"/>
        </w:rPr>
        <w:t>Mitchell v. Rende</w:t>
      </w:r>
      <w:r>
        <w:rPr>
          <w:sz w:val="24"/>
        </w:rPr>
        <w:t>, 225 Minn. 145, 30 N.W.2d 27</w:t>
      </w:r>
      <w:r>
        <w:rPr>
          <w:spacing w:val="-8"/>
          <w:sz w:val="24"/>
        </w:rPr>
        <w:t> </w:t>
      </w:r>
      <w:r>
        <w:rPr>
          <w:sz w:val="24"/>
        </w:rPr>
        <w:t>(1947).</w:t>
      </w:r>
    </w:p>
    <w:p>
      <w:pPr>
        <w:pStyle w:val="BodyText"/>
        <w:rPr>
          <w:sz w:val="21"/>
        </w:rPr>
      </w:pPr>
    </w:p>
    <w:p>
      <w:pPr>
        <w:pStyle w:val="ListParagraph"/>
        <w:numPr>
          <w:ilvl w:val="0"/>
          <w:numId w:val="5"/>
        </w:numPr>
        <w:tabs>
          <w:tab w:pos="1208" w:val="left" w:leader="none"/>
          <w:tab w:pos="1209" w:val="left" w:leader="none"/>
        </w:tabs>
        <w:spacing w:line="211" w:lineRule="auto" w:before="0" w:after="0"/>
        <w:ind w:left="1540" w:right="122" w:hanging="720"/>
        <w:jc w:val="left"/>
        <w:rPr>
          <w:sz w:val="24"/>
        </w:rPr>
      </w:pPr>
      <w:r>
        <w:rPr>
          <w:rFonts w:ascii="Arial"/>
          <w:sz w:val="24"/>
        </w:rPr>
        <w:t>G </w:t>
      </w:r>
      <w:r>
        <w:rPr>
          <w:sz w:val="24"/>
        </w:rPr>
        <w:t>Plaintiff waived the alleged breaches or is estopped from enforcing them by accepting rent with knowledge of the breach. </w:t>
      </w:r>
      <w:r>
        <w:rPr>
          <w:i/>
          <w:sz w:val="24"/>
        </w:rPr>
        <w:t>Kenny v. Seu Si Lun</w:t>
      </w:r>
      <w:r>
        <w:rPr>
          <w:sz w:val="24"/>
        </w:rPr>
        <w:t>, 101 Minn.</w:t>
      </w:r>
      <w:r>
        <w:rPr>
          <w:spacing w:val="-18"/>
          <w:sz w:val="24"/>
        </w:rPr>
        <w:t> </w:t>
      </w:r>
      <w:r>
        <w:rPr>
          <w:spacing w:val="-4"/>
          <w:sz w:val="24"/>
        </w:rPr>
        <w:t>253, </w:t>
      </w:r>
      <w:r>
        <w:rPr>
          <w:sz w:val="24"/>
        </w:rPr>
        <w:t>256-58, 112 N.W. 220, 221-22 (1907).</w:t>
      </w:r>
    </w:p>
    <w:p>
      <w:pPr>
        <w:pStyle w:val="BodyText"/>
        <w:spacing w:before="11"/>
        <w:rPr>
          <w:sz w:val="18"/>
        </w:rPr>
      </w:pPr>
    </w:p>
    <w:p>
      <w:pPr>
        <w:pStyle w:val="ListParagraph"/>
        <w:numPr>
          <w:ilvl w:val="0"/>
          <w:numId w:val="5"/>
        </w:numPr>
        <w:tabs>
          <w:tab w:pos="1208" w:val="left" w:leader="none"/>
          <w:tab w:pos="1209" w:val="left" w:leader="none"/>
        </w:tabs>
        <w:spacing w:line="260" w:lineRule="exact" w:before="0" w:after="0"/>
        <w:ind w:left="1208" w:right="0" w:hanging="389"/>
        <w:jc w:val="left"/>
        <w:rPr>
          <w:sz w:val="24"/>
        </w:rPr>
      </w:pPr>
      <w:r>
        <w:rPr>
          <w:rFonts w:ascii="Arial"/>
          <w:sz w:val="24"/>
        </w:rPr>
        <w:t>G </w:t>
      </w:r>
      <w:r>
        <w:rPr>
          <w:sz w:val="24"/>
        </w:rPr>
        <w:t>Plaintiff is discriminating against me as a member of a protected class. 42</w:t>
      </w:r>
      <w:r>
        <w:rPr>
          <w:spacing w:val="5"/>
          <w:sz w:val="24"/>
        </w:rPr>
        <w:t> </w:t>
      </w:r>
      <w:r>
        <w:rPr>
          <w:sz w:val="24"/>
        </w:rPr>
        <w:t>U.S.C.</w:t>
      </w:r>
    </w:p>
    <w:p>
      <w:pPr>
        <w:pStyle w:val="BodyText"/>
        <w:spacing w:line="259" w:lineRule="exact"/>
        <w:ind w:left="1540"/>
      </w:pPr>
      <w:r>
        <w:rPr/>
        <w:t>§ 3604; Minn. Stat. § 363A.09.</w:t>
      </w:r>
    </w:p>
    <w:p>
      <w:pPr>
        <w:pStyle w:val="ListParagraph"/>
        <w:numPr>
          <w:ilvl w:val="0"/>
          <w:numId w:val="5"/>
        </w:numPr>
        <w:tabs>
          <w:tab w:pos="1209" w:val="left" w:leader="none"/>
        </w:tabs>
        <w:spacing w:line="261" w:lineRule="exact" w:before="210" w:after="0"/>
        <w:ind w:left="1208" w:right="0" w:hanging="389"/>
        <w:jc w:val="left"/>
        <w:rPr>
          <w:sz w:val="24"/>
        </w:rPr>
      </w:pPr>
      <w:r>
        <w:rPr>
          <w:rFonts w:ascii="Arial"/>
          <w:sz w:val="24"/>
        </w:rPr>
        <w:t>G </w:t>
      </w:r>
      <w:r>
        <w:rPr>
          <w:sz w:val="24"/>
        </w:rPr>
        <w:t>I have a disability. Plaintiff did not reasonably accommodate my disability.</w:t>
      </w:r>
      <w:r>
        <w:rPr>
          <w:spacing w:val="-26"/>
          <w:sz w:val="24"/>
        </w:rPr>
        <w:t> </w:t>
      </w:r>
      <w:r>
        <w:rPr>
          <w:sz w:val="24"/>
        </w:rPr>
        <w:t>42</w:t>
      </w:r>
    </w:p>
    <w:p>
      <w:pPr>
        <w:spacing w:line="260" w:lineRule="exact" w:before="0"/>
        <w:ind w:left="1540" w:right="0" w:firstLine="0"/>
        <w:jc w:val="left"/>
        <w:rPr>
          <w:sz w:val="24"/>
        </w:rPr>
      </w:pPr>
      <w:r>
        <w:rPr>
          <w:sz w:val="24"/>
        </w:rPr>
        <w:t>U.S.C. § 3604(f)(3); 24 C.F.R. Part 100; </w:t>
      </w:r>
      <w:r>
        <w:rPr>
          <w:i/>
          <w:sz w:val="24"/>
        </w:rPr>
        <w:t>Douglas v. Kriegsfield Corp.</w:t>
      </w:r>
      <w:r>
        <w:rPr>
          <w:sz w:val="24"/>
        </w:rPr>
        <w:t>, 884 A.2d</w:t>
      </w:r>
    </w:p>
    <w:p>
      <w:pPr>
        <w:spacing w:after="0" w:line="260" w:lineRule="exact"/>
        <w:jc w:val="left"/>
        <w:rPr>
          <w:sz w:val="24"/>
        </w:rPr>
        <w:sectPr>
          <w:pgSz w:w="12240" w:h="15840"/>
          <w:pgMar w:header="0" w:footer="1121" w:top="1040" w:bottom="1320" w:left="1340" w:right="1340"/>
        </w:sectPr>
      </w:pPr>
    </w:p>
    <w:p>
      <w:pPr>
        <w:pStyle w:val="BodyText"/>
        <w:spacing w:line="211" w:lineRule="auto" w:before="68"/>
        <w:ind w:left="1540" w:right="633"/>
      </w:pPr>
      <w:r>
        <w:rPr/>
        <w:t>1109 (D.C. Ct. App. 2005); Minn. Stat. § 363A.10; </w:t>
      </w:r>
      <w:r>
        <w:rPr>
          <w:i/>
        </w:rPr>
        <w:t>Schuett v. Anderson</w:t>
      </w:r>
      <w:r>
        <w:rPr/>
        <w:t>, 386 N.W.2d 249, 253 (Minn. Ct. App. 1986).</w:t>
      </w:r>
    </w:p>
    <w:p>
      <w:pPr>
        <w:pStyle w:val="BodyText"/>
        <w:spacing w:before="9"/>
        <w:rPr>
          <w:sz w:val="18"/>
        </w:rPr>
      </w:pPr>
    </w:p>
    <w:p>
      <w:pPr>
        <w:pStyle w:val="ListParagraph"/>
        <w:numPr>
          <w:ilvl w:val="0"/>
          <w:numId w:val="5"/>
        </w:numPr>
        <w:tabs>
          <w:tab w:pos="1209" w:val="left" w:leader="none"/>
        </w:tabs>
        <w:spacing w:line="240" w:lineRule="auto" w:before="0" w:after="0"/>
        <w:ind w:left="1208" w:right="0" w:hanging="389"/>
        <w:jc w:val="left"/>
        <w:rPr>
          <w:sz w:val="24"/>
        </w:rPr>
      </w:pPr>
      <w:r>
        <w:rPr>
          <w:rFonts w:ascii="Arial"/>
          <w:sz w:val="24"/>
        </w:rPr>
        <w:t>G </w:t>
      </w:r>
      <w:r>
        <w:rPr>
          <w:sz w:val="24"/>
        </w:rPr>
        <w:t>The lease term is illegal, unconscionable, an adhesion contract, or</w:t>
      </w:r>
      <w:r>
        <w:rPr>
          <w:spacing w:val="-8"/>
          <w:sz w:val="24"/>
        </w:rPr>
        <w:t> </w:t>
      </w:r>
      <w:r>
        <w:rPr>
          <w:sz w:val="24"/>
        </w:rPr>
        <w:t>discriminatory.</w:t>
      </w:r>
    </w:p>
    <w:p>
      <w:pPr>
        <w:pStyle w:val="BodyText"/>
        <w:spacing w:before="7"/>
        <w:rPr>
          <w:sz w:val="20"/>
        </w:rPr>
      </w:pPr>
    </w:p>
    <w:p>
      <w:pPr>
        <w:pStyle w:val="ListParagraph"/>
        <w:numPr>
          <w:ilvl w:val="0"/>
          <w:numId w:val="5"/>
        </w:numPr>
        <w:tabs>
          <w:tab w:pos="1209" w:val="left" w:leader="none"/>
        </w:tabs>
        <w:spacing w:line="211" w:lineRule="auto" w:before="0" w:after="0"/>
        <w:ind w:left="1540" w:right="99" w:hanging="720"/>
        <w:jc w:val="left"/>
        <w:rPr>
          <w:sz w:val="24"/>
        </w:rPr>
      </w:pPr>
      <w:r>
        <w:rPr>
          <w:rFonts w:ascii="Arial" w:hAnsi="Arial"/>
          <w:sz w:val="24"/>
        </w:rPr>
        <w:t>G </w:t>
      </w:r>
      <w:r>
        <w:rPr>
          <w:sz w:val="24"/>
        </w:rPr>
        <w:t>Plaintiff alleges that I unlawfully allowed unlawful activity (illegal drugs,</w:t>
      </w:r>
      <w:r>
        <w:rPr>
          <w:spacing w:val="-38"/>
          <w:sz w:val="24"/>
        </w:rPr>
        <w:t> </w:t>
      </w:r>
      <w:r>
        <w:rPr>
          <w:sz w:val="24"/>
        </w:rPr>
        <w:t>prostitu- tion related activity, or unlawful use or possession of certain firearms) on the property. Minn. Stat. § 504B.171 (formerly §</w:t>
      </w:r>
      <w:r>
        <w:rPr>
          <w:spacing w:val="-13"/>
          <w:sz w:val="24"/>
        </w:rPr>
        <w:t> </w:t>
      </w:r>
      <w:r>
        <w:rPr>
          <w:sz w:val="24"/>
        </w:rPr>
        <w:t>504.181).</w:t>
      </w:r>
    </w:p>
    <w:p>
      <w:pPr>
        <w:pStyle w:val="BodyText"/>
        <w:spacing w:before="11"/>
        <w:rPr>
          <w:sz w:val="18"/>
        </w:rPr>
      </w:pPr>
    </w:p>
    <w:p>
      <w:pPr>
        <w:pStyle w:val="ListParagraph"/>
        <w:numPr>
          <w:ilvl w:val="1"/>
          <w:numId w:val="5"/>
        </w:numPr>
        <w:tabs>
          <w:tab w:pos="2259" w:val="left" w:leader="none"/>
          <w:tab w:pos="2260" w:val="left" w:leader="none"/>
          <w:tab w:pos="2979" w:val="left" w:leader="none"/>
        </w:tabs>
        <w:spacing w:line="261" w:lineRule="exact" w:before="0" w:after="0"/>
        <w:ind w:left="2260" w:right="0" w:hanging="720"/>
        <w:jc w:val="left"/>
        <w:rPr>
          <w:sz w:val="24"/>
        </w:rPr>
      </w:pPr>
      <w:r>
        <w:rPr>
          <w:rFonts w:ascii="Arial"/>
          <w:sz w:val="24"/>
        </w:rPr>
        <w:t>G</w:t>
        <w:tab/>
      </w:r>
      <w:r>
        <w:rPr>
          <w:sz w:val="24"/>
        </w:rPr>
        <w:t>There was no unlawful activity on the</w:t>
      </w:r>
      <w:r>
        <w:rPr>
          <w:spacing w:val="-16"/>
          <w:sz w:val="24"/>
        </w:rPr>
        <w:t> </w:t>
      </w:r>
      <w:r>
        <w:rPr>
          <w:sz w:val="24"/>
        </w:rPr>
        <w:t>property.</w:t>
      </w:r>
    </w:p>
    <w:p>
      <w:pPr>
        <w:pStyle w:val="ListParagraph"/>
        <w:numPr>
          <w:ilvl w:val="1"/>
          <w:numId w:val="5"/>
        </w:numPr>
        <w:tabs>
          <w:tab w:pos="2259" w:val="left" w:leader="none"/>
          <w:tab w:pos="2260" w:val="left" w:leader="none"/>
          <w:tab w:pos="2979" w:val="left" w:leader="none"/>
        </w:tabs>
        <w:spacing w:line="211" w:lineRule="auto" w:before="11" w:after="0"/>
        <w:ind w:left="2980" w:right="571" w:hanging="1440"/>
        <w:jc w:val="left"/>
        <w:rPr>
          <w:sz w:val="24"/>
        </w:rPr>
      </w:pPr>
      <w:r>
        <w:rPr>
          <w:rFonts w:ascii="Arial"/>
          <w:sz w:val="24"/>
        </w:rPr>
        <w:t>G</w:t>
        <w:tab/>
      </w:r>
      <w:r>
        <w:rPr>
          <w:sz w:val="24"/>
        </w:rPr>
        <w:t>I did not know or have reason to know that there was </w:t>
      </w:r>
      <w:r>
        <w:rPr>
          <w:spacing w:val="-3"/>
          <w:sz w:val="24"/>
        </w:rPr>
        <w:t>unlawful </w:t>
      </w:r>
      <w:r>
        <w:rPr>
          <w:sz w:val="24"/>
        </w:rPr>
        <w:t>activity on the</w:t>
      </w:r>
      <w:r>
        <w:rPr>
          <w:spacing w:val="-9"/>
          <w:sz w:val="24"/>
        </w:rPr>
        <w:t> </w:t>
      </w:r>
      <w:r>
        <w:rPr>
          <w:sz w:val="24"/>
        </w:rPr>
        <w:t>property.</w:t>
      </w:r>
    </w:p>
    <w:p>
      <w:pPr>
        <w:pStyle w:val="ListParagraph"/>
        <w:numPr>
          <w:ilvl w:val="1"/>
          <w:numId w:val="5"/>
        </w:numPr>
        <w:tabs>
          <w:tab w:pos="2259" w:val="left" w:leader="none"/>
          <w:tab w:pos="2260" w:val="left" w:leader="none"/>
          <w:tab w:pos="2979" w:val="left" w:leader="none"/>
        </w:tabs>
        <w:spacing w:line="211" w:lineRule="auto" w:before="0" w:after="0"/>
        <w:ind w:left="2980" w:right="592" w:hanging="1440"/>
        <w:jc w:val="left"/>
        <w:rPr>
          <w:sz w:val="24"/>
        </w:rPr>
      </w:pPr>
      <w:r>
        <w:rPr>
          <w:rFonts w:ascii="Arial" w:hAnsi="Arial"/>
          <w:sz w:val="24"/>
        </w:rPr>
        <w:t>G</w:t>
        <w:tab/>
      </w:r>
      <w:r>
        <w:rPr>
          <w:sz w:val="24"/>
        </w:rPr>
        <w:t>I could not prevent the illegal drugs from being brought on</w:t>
      </w:r>
      <w:r>
        <w:rPr>
          <w:spacing w:val="-21"/>
          <w:sz w:val="24"/>
        </w:rPr>
        <w:t> </w:t>
      </w:r>
      <w:r>
        <w:rPr>
          <w:spacing w:val="-5"/>
          <w:sz w:val="24"/>
        </w:rPr>
        <w:t>the </w:t>
      </w:r>
      <w:r>
        <w:rPr>
          <w:sz w:val="24"/>
        </w:rPr>
        <w:t>property. Minn. Stat. § 609.5317, subd.</w:t>
      </w:r>
      <w:r>
        <w:rPr>
          <w:spacing w:val="-2"/>
          <w:sz w:val="24"/>
        </w:rPr>
        <w:t> </w:t>
      </w:r>
      <w:r>
        <w:rPr>
          <w:sz w:val="24"/>
        </w:rPr>
        <w:t>3.</w:t>
      </w:r>
    </w:p>
    <w:p>
      <w:pPr>
        <w:pStyle w:val="ListParagraph"/>
        <w:numPr>
          <w:ilvl w:val="1"/>
          <w:numId w:val="5"/>
        </w:numPr>
        <w:tabs>
          <w:tab w:pos="2259" w:val="left" w:leader="none"/>
          <w:tab w:pos="2260" w:val="left" w:leader="none"/>
          <w:tab w:pos="2979" w:val="left" w:leader="none"/>
        </w:tabs>
        <w:spacing w:line="211" w:lineRule="auto" w:before="1" w:after="0"/>
        <w:ind w:left="2980" w:right="765" w:hanging="1440"/>
        <w:jc w:val="left"/>
        <w:rPr>
          <w:sz w:val="24"/>
        </w:rPr>
      </w:pPr>
      <w:r>
        <w:rPr>
          <w:rFonts w:ascii="Arial" w:hAnsi="Arial"/>
          <w:sz w:val="24"/>
        </w:rPr>
        <w:t>G</w:t>
        <w:tab/>
      </w:r>
      <w:r>
        <w:rPr>
          <w:sz w:val="24"/>
        </w:rPr>
        <w:t>Medical marijuana use is legal under state law. Minn. Stat. </w:t>
      </w:r>
      <w:r>
        <w:rPr>
          <w:spacing w:val="-17"/>
          <w:sz w:val="24"/>
        </w:rPr>
        <w:t>§ </w:t>
      </w:r>
      <w:r>
        <w:rPr>
          <w:sz w:val="24"/>
        </w:rPr>
        <w:t>152.32.</w:t>
      </w:r>
    </w:p>
    <w:p>
      <w:pPr>
        <w:pStyle w:val="BodyText"/>
        <w:spacing w:before="10"/>
        <w:rPr>
          <w:sz w:val="20"/>
        </w:rPr>
      </w:pPr>
    </w:p>
    <w:p>
      <w:pPr>
        <w:pStyle w:val="ListParagraph"/>
        <w:numPr>
          <w:ilvl w:val="0"/>
          <w:numId w:val="5"/>
        </w:numPr>
        <w:tabs>
          <w:tab w:pos="1209" w:val="left" w:leader="none"/>
        </w:tabs>
        <w:spacing w:line="213" w:lineRule="auto" w:before="0" w:after="0"/>
        <w:ind w:left="1540" w:right="205" w:hanging="720"/>
        <w:jc w:val="left"/>
        <w:rPr>
          <w:sz w:val="24"/>
        </w:rPr>
      </w:pPr>
      <w:r>
        <w:rPr>
          <w:rFonts w:ascii="Arial" w:hAnsi="Arial"/>
          <w:sz w:val="24"/>
        </w:rPr>
        <w:t>G </w:t>
      </w:r>
      <w:r>
        <w:rPr>
          <w:sz w:val="24"/>
        </w:rPr>
        <w:t>Plaintiff is penalizing me for calling for police or emergency assistance in re- sponse to domestic abuse or any other conduct. Minn. Stat. § 504B.205</w:t>
      </w:r>
      <w:r>
        <w:rPr>
          <w:spacing w:val="-30"/>
          <w:sz w:val="24"/>
        </w:rPr>
        <w:t> </w:t>
      </w:r>
      <w:r>
        <w:rPr>
          <w:sz w:val="24"/>
        </w:rPr>
        <w:t>(formerly</w:t>
      </w:r>
    </w:p>
    <w:p>
      <w:pPr>
        <w:pStyle w:val="BodyText"/>
        <w:spacing w:line="247" w:lineRule="exact"/>
        <w:ind w:left="1540"/>
      </w:pPr>
      <w:r>
        <w:rPr/>
        <w:t>§ 504.215).</w:t>
      </w:r>
    </w:p>
    <w:p>
      <w:pPr>
        <w:pStyle w:val="BodyText"/>
        <w:spacing w:before="7"/>
        <w:rPr>
          <w:sz w:val="20"/>
        </w:rPr>
      </w:pPr>
    </w:p>
    <w:p>
      <w:pPr>
        <w:pStyle w:val="ListParagraph"/>
        <w:numPr>
          <w:ilvl w:val="0"/>
          <w:numId w:val="5"/>
        </w:numPr>
        <w:tabs>
          <w:tab w:pos="1209" w:val="left" w:leader="none"/>
        </w:tabs>
        <w:spacing w:line="211" w:lineRule="auto" w:before="0" w:after="0"/>
        <w:ind w:left="1540" w:right="334" w:hanging="720"/>
        <w:jc w:val="left"/>
        <w:rPr>
          <w:sz w:val="24"/>
        </w:rPr>
      </w:pPr>
      <w:r>
        <w:rPr>
          <w:rFonts w:ascii="Arial" w:hAnsi="Arial"/>
          <w:sz w:val="24"/>
        </w:rPr>
        <w:t>G </w:t>
      </w:r>
      <w:r>
        <w:rPr>
          <w:sz w:val="24"/>
        </w:rPr>
        <w:t>The basis of the eviction is that I or another tenant or authorized occupant in </w:t>
      </w:r>
      <w:r>
        <w:rPr>
          <w:spacing w:val="-8"/>
          <w:sz w:val="24"/>
        </w:rPr>
        <w:t>my </w:t>
      </w:r>
      <w:r>
        <w:rPr>
          <w:sz w:val="24"/>
        </w:rPr>
        <w:t>household has been a victim of domestic abuse, criminal sexual conduct, or stalking. Minn. Stat. §§ 504B.285, Subd. 1 (b); 504B.206, Subd. 1</w:t>
      </w:r>
      <w:r>
        <w:rPr>
          <w:spacing w:val="-2"/>
          <w:sz w:val="24"/>
        </w:rPr>
        <w:t> </w:t>
      </w:r>
      <w:r>
        <w:rPr>
          <w:sz w:val="24"/>
        </w:rPr>
        <w:t>(a).</w:t>
      </w:r>
    </w:p>
    <w:p>
      <w:pPr>
        <w:pStyle w:val="BodyText"/>
        <w:spacing w:before="3"/>
        <w:rPr>
          <w:sz w:val="21"/>
        </w:rPr>
      </w:pPr>
    </w:p>
    <w:p>
      <w:pPr>
        <w:pStyle w:val="ListParagraph"/>
        <w:numPr>
          <w:ilvl w:val="0"/>
          <w:numId w:val="5"/>
        </w:numPr>
        <w:tabs>
          <w:tab w:pos="1209" w:val="left" w:leader="none"/>
        </w:tabs>
        <w:spacing w:line="211" w:lineRule="auto" w:before="1" w:after="0"/>
        <w:ind w:left="1540" w:right="172" w:hanging="720"/>
        <w:jc w:val="left"/>
        <w:rPr>
          <w:sz w:val="24"/>
        </w:rPr>
      </w:pPr>
      <w:r>
        <w:rPr>
          <w:rFonts w:ascii="Arial"/>
          <w:sz w:val="24"/>
        </w:rPr>
        <w:t>G </w:t>
      </w:r>
      <w:r>
        <w:rPr>
          <w:sz w:val="24"/>
        </w:rPr>
        <w:t>Forfeiting my home would be a great injustice, since Plaintiff's rights are ade- quately protected. </w:t>
      </w:r>
      <w:r>
        <w:rPr>
          <w:i/>
          <w:sz w:val="24"/>
        </w:rPr>
        <w:t>Naftalin v. John Wood Co.</w:t>
      </w:r>
      <w:r>
        <w:rPr>
          <w:sz w:val="24"/>
        </w:rPr>
        <w:t>, 263 Minn. 135, 147, 116 N.W.2d 91, 100 (1962); </w:t>
      </w:r>
      <w:r>
        <w:rPr>
          <w:i/>
          <w:sz w:val="24"/>
        </w:rPr>
        <w:t>Warren v. Driscoll</w:t>
      </w:r>
      <w:r>
        <w:rPr>
          <w:sz w:val="24"/>
        </w:rPr>
        <w:t>, 186 Minn. 1, 5, 242 N.W.2d 346, 347</w:t>
      </w:r>
      <w:r>
        <w:rPr>
          <w:spacing w:val="-4"/>
          <w:sz w:val="24"/>
        </w:rPr>
        <w:t> </w:t>
      </w:r>
      <w:r>
        <w:rPr>
          <w:spacing w:val="-3"/>
          <w:sz w:val="24"/>
        </w:rPr>
        <w:t>(1932).</w:t>
      </w:r>
    </w:p>
    <w:p>
      <w:pPr>
        <w:pStyle w:val="BodyText"/>
        <w:spacing w:before="3"/>
        <w:rPr>
          <w:sz w:val="21"/>
        </w:rPr>
      </w:pPr>
    </w:p>
    <w:p>
      <w:pPr>
        <w:pStyle w:val="ListParagraph"/>
        <w:numPr>
          <w:ilvl w:val="0"/>
          <w:numId w:val="5"/>
        </w:numPr>
        <w:tabs>
          <w:tab w:pos="1209" w:val="left" w:leader="none"/>
        </w:tabs>
        <w:spacing w:line="211" w:lineRule="auto" w:before="0" w:after="0"/>
        <w:ind w:left="1540" w:right="118" w:hanging="720"/>
        <w:jc w:val="left"/>
        <w:rPr>
          <w:sz w:val="24"/>
        </w:rPr>
      </w:pPr>
      <w:r>
        <w:rPr>
          <w:rFonts w:ascii="Arial"/>
          <w:sz w:val="24"/>
        </w:rPr>
        <w:t>G </w:t>
      </w:r>
      <w:r>
        <w:rPr>
          <w:sz w:val="24"/>
        </w:rPr>
        <w:t>I have a common law defense to this eviction that is in retaliation for my com- plaints about material violations by the landlord of state or local law, residential covenants, or the lease. </w:t>
      </w:r>
      <w:r>
        <w:rPr>
          <w:i/>
          <w:sz w:val="24"/>
        </w:rPr>
        <w:t>Cent. Hous. Assocs., LP v. Olson</w:t>
      </w:r>
      <w:r>
        <w:rPr>
          <w:sz w:val="24"/>
        </w:rPr>
        <w:t>, 929 N.W.2d 398 </w:t>
      </w:r>
      <w:r>
        <w:rPr>
          <w:spacing w:val="-3"/>
          <w:sz w:val="24"/>
        </w:rPr>
        <w:t>(Minn. </w:t>
      </w:r>
      <w:r>
        <w:rPr>
          <w:sz w:val="24"/>
        </w:rPr>
        <w:t>2019).</w:t>
      </w:r>
    </w:p>
    <w:p>
      <w:pPr>
        <w:pStyle w:val="BodyText"/>
        <w:spacing w:before="1"/>
        <w:rPr>
          <w:sz w:val="19"/>
        </w:rPr>
      </w:pPr>
    </w:p>
    <w:p>
      <w:pPr>
        <w:pStyle w:val="ListParagraph"/>
        <w:numPr>
          <w:ilvl w:val="0"/>
          <w:numId w:val="5"/>
        </w:numPr>
        <w:tabs>
          <w:tab w:pos="1209" w:val="left" w:leader="none"/>
          <w:tab w:pos="9293" w:val="left" w:leader="none"/>
        </w:tabs>
        <w:spacing w:line="240" w:lineRule="auto" w:before="0" w:after="0"/>
        <w:ind w:left="1208" w:right="0" w:hanging="389"/>
        <w:jc w:val="left"/>
        <w:rPr>
          <w:sz w:val="24"/>
        </w:rPr>
      </w:pPr>
      <w:r>
        <w:rPr>
          <w:rFonts w:ascii="Arial"/>
          <w:sz w:val="24"/>
        </w:rPr>
        <w:t>G </w:t>
      </w:r>
      <w:r>
        <w:rPr>
          <w:rFonts w:ascii="Arial"/>
          <w:spacing w:val="10"/>
          <w:sz w:val="24"/>
        </w:rPr>
        <w:t> </w:t>
      </w:r>
      <w:r>
        <w:rPr>
          <w:sz w:val="24"/>
        </w:rPr>
        <w:t>Other:</w:t>
      </w:r>
      <w:r>
        <w:rPr>
          <w:sz w:val="24"/>
          <w:u w:val="single"/>
        </w:rPr>
        <w:t> </w:t>
        <w:tab/>
      </w:r>
      <w:r>
        <w:rPr>
          <w:sz w:val="24"/>
        </w:rPr>
        <w:t>.</w:t>
      </w:r>
    </w:p>
    <w:p>
      <w:pPr>
        <w:pStyle w:val="BodyText"/>
        <w:spacing w:before="9"/>
        <w:rPr>
          <w:sz w:val="18"/>
        </w:rPr>
      </w:pPr>
    </w:p>
    <w:p>
      <w:pPr>
        <w:pStyle w:val="Heading1"/>
        <w:numPr>
          <w:ilvl w:val="0"/>
          <w:numId w:val="3"/>
        </w:numPr>
        <w:tabs>
          <w:tab w:pos="819" w:val="left" w:leader="none"/>
          <w:tab w:pos="820" w:val="left" w:leader="none"/>
        </w:tabs>
        <w:spacing w:line="240" w:lineRule="auto" w:before="0" w:after="0"/>
        <w:ind w:left="820" w:right="0" w:hanging="720"/>
        <w:jc w:val="left"/>
      </w:pPr>
      <w:r>
        <w:rPr/>
        <w:t>REQUEST FOR RELIEF</w:t>
      </w:r>
    </w:p>
    <w:p>
      <w:pPr>
        <w:pStyle w:val="BodyText"/>
        <w:spacing w:before="2"/>
        <w:rPr>
          <w:b/>
          <w:sz w:val="20"/>
        </w:rPr>
      </w:pPr>
    </w:p>
    <w:p>
      <w:pPr>
        <w:pStyle w:val="ListParagraph"/>
        <w:numPr>
          <w:ilvl w:val="1"/>
          <w:numId w:val="3"/>
        </w:numPr>
        <w:tabs>
          <w:tab w:pos="1208" w:val="left" w:leader="none"/>
          <w:tab w:pos="1209" w:val="left" w:leader="none"/>
        </w:tabs>
        <w:spacing w:line="211" w:lineRule="auto" w:before="1" w:after="0"/>
        <w:ind w:left="1540" w:right="312" w:hanging="720"/>
        <w:jc w:val="left"/>
        <w:rPr>
          <w:sz w:val="24"/>
        </w:rPr>
      </w:pPr>
      <w:r>
        <w:rPr>
          <w:rFonts w:ascii="Arial" w:hAnsi="Arial"/>
          <w:sz w:val="24"/>
        </w:rPr>
        <w:t>G </w:t>
      </w:r>
      <w:r>
        <w:rPr>
          <w:sz w:val="24"/>
        </w:rPr>
        <w:t>Dismiss Plaintiff’s Complaint for the reasons set forth in this Answer and </w:t>
      </w:r>
      <w:r>
        <w:rPr>
          <w:spacing w:val="-4"/>
          <w:sz w:val="24"/>
        </w:rPr>
        <w:t>award </w:t>
      </w:r>
      <w:r>
        <w:rPr>
          <w:sz w:val="24"/>
        </w:rPr>
        <w:t>me judgment for</w:t>
      </w:r>
      <w:r>
        <w:rPr>
          <w:spacing w:val="-1"/>
          <w:sz w:val="24"/>
        </w:rPr>
        <w:t> </w:t>
      </w:r>
      <w:r>
        <w:rPr>
          <w:sz w:val="24"/>
        </w:rPr>
        <w:t>possession.</w:t>
      </w:r>
    </w:p>
    <w:p>
      <w:pPr>
        <w:pStyle w:val="ListParagraph"/>
        <w:numPr>
          <w:ilvl w:val="1"/>
          <w:numId w:val="3"/>
        </w:numPr>
        <w:tabs>
          <w:tab w:pos="1208" w:val="left" w:leader="none"/>
          <w:tab w:pos="1209" w:val="left" w:leader="none"/>
        </w:tabs>
        <w:spacing w:line="261" w:lineRule="exact" w:before="216" w:after="0"/>
        <w:ind w:left="1208" w:right="0" w:hanging="389"/>
        <w:jc w:val="left"/>
        <w:rPr>
          <w:sz w:val="24"/>
        </w:rPr>
      </w:pPr>
      <w:r>
        <w:rPr>
          <w:rFonts w:ascii="Arial"/>
          <w:sz w:val="24"/>
        </w:rPr>
        <w:t>G </w:t>
      </w:r>
      <w:r>
        <w:rPr>
          <w:sz w:val="24"/>
        </w:rPr>
        <w:t>Plaintiff improperly filed an expedited case. Dismiss this case and fine Plaintiff</w:t>
      </w:r>
    </w:p>
    <w:p>
      <w:pPr>
        <w:pStyle w:val="BodyText"/>
        <w:spacing w:line="260" w:lineRule="exact"/>
        <w:ind w:left="1540"/>
      </w:pPr>
      <w:r>
        <w:rPr/>
        <w:t>$500. Minn. Stat. § 504B.321 (formerly § 566.05).</w:t>
      </w:r>
    </w:p>
    <w:p>
      <w:pPr>
        <w:pStyle w:val="BodyText"/>
        <w:spacing w:before="6"/>
        <w:rPr>
          <w:sz w:val="20"/>
        </w:rPr>
      </w:pPr>
    </w:p>
    <w:p>
      <w:pPr>
        <w:pStyle w:val="ListParagraph"/>
        <w:numPr>
          <w:ilvl w:val="1"/>
          <w:numId w:val="3"/>
        </w:numPr>
        <w:tabs>
          <w:tab w:pos="1208" w:val="left" w:leader="none"/>
          <w:tab w:pos="1209" w:val="left" w:leader="none"/>
        </w:tabs>
        <w:spacing w:line="211" w:lineRule="auto" w:before="1" w:after="0"/>
        <w:ind w:left="1540" w:right="537" w:hanging="720"/>
        <w:jc w:val="left"/>
        <w:rPr>
          <w:sz w:val="24"/>
        </w:rPr>
      </w:pPr>
      <w:r>
        <w:rPr>
          <w:rFonts w:ascii="Arial" w:hAnsi="Arial"/>
          <w:sz w:val="24"/>
        </w:rPr>
        <w:t>G </w:t>
      </w:r>
      <w:r>
        <w:rPr>
          <w:sz w:val="24"/>
        </w:rPr>
        <w:t>Abate (reduce) the rent claimed by Plaintiff, and abate (reduce) the future </w:t>
      </w:r>
      <w:r>
        <w:rPr>
          <w:spacing w:val="-4"/>
          <w:sz w:val="24"/>
        </w:rPr>
        <w:t>rent </w:t>
      </w:r>
      <w:r>
        <w:rPr>
          <w:sz w:val="24"/>
        </w:rPr>
        <w:t>until Plaintiff completes repairs. </w:t>
      </w:r>
      <w:r>
        <w:rPr>
          <w:i/>
          <w:sz w:val="24"/>
        </w:rPr>
        <w:t>Fritz v. Warthen</w:t>
      </w:r>
      <w:r>
        <w:rPr>
          <w:sz w:val="24"/>
        </w:rPr>
        <w:t>, 298 Minn. 54, 58-59, 213 N.W.2d 339, 341-42 (1973); Minn. Stat. § 504B.161 (formerly §</w:t>
      </w:r>
      <w:r>
        <w:rPr>
          <w:spacing w:val="-13"/>
          <w:sz w:val="24"/>
        </w:rPr>
        <w:t> </w:t>
      </w:r>
      <w:r>
        <w:rPr>
          <w:sz w:val="24"/>
        </w:rPr>
        <w:t>504.18).</w:t>
      </w:r>
    </w:p>
    <w:p>
      <w:pPr>
        <w:pStyle w:val="BodyText"/>
        <w:spacing w:before="3"/>
        <w:rPr>
          <w:sz w:val="21"/>
        </w:rPr>
      </w:pPr>
    </w:p>
    <w:p>
      <w:pPr>
        <w:pStyle w:val="ListParagraph"/>
        <w:numPr>
          <w:ilvl w:val="1"/>
          <w:numId w:val="3"/>
        </w:numPr>
        <w:tabs>
          <w:tab w:pos="1208" w:val="left" w:leader="none"/>
          <w:tab w:pos="1209" w:val="left" w:leader="none"/>
        </w:tabs>
        <w:spacing w:line="211" w:lineRule="auto" w:before="0" w:after="0"/>
        <w:ind w:left="1540" w:right="209" w:hanging="720"/>
        <w:jc w:val="left"/>
        <w:rPr>
          <w:sz w:val="24"/>
        </w:rPr>
      </w:pPr>
      <w:r>
        <w:rPr>
          <w:rFonts w:ascii="Arial" w:hAnsi="Arial"/>
          <w:sz w:val="24"/>
        </w:rPr>
        <w:t>G </w:t>
      </w:r>
      <w:r>
        <w:rPr>
          <w:sz w:val="24"/>
        </w:rPr>
        <w:t>Abate (reduce) the rent claimed by Plaintiff, and abate (reduce) the future rent until Plaintiff stops unlawful activity on the property. </w:t>
      </w:r>
      <w:r>
        <w:rPr>
          <w:i/>
          <w:sz w:val="24"/>
        </w:rPr>
        <w:t>See </w:t>
      </w:r>
      <w:r>
        <w:rPr>
          <w:sz w:val="24"/>
        </w:rPr>
        <w:t>Minn. Stat. §</w:t>
      </w:r>
      <w:r>
        <w:rPr>
          <w:spacing w:val="-35"/>
          <w:sz w:val="24"/>
        </w:rPr>
        <w:t> </w:t>
      </w:r>
      <w:r>
        <w:rPr>
          <w:sz w:val="24"/>
        </w:rPr>
        <w:t>504B.171 (formerly §</w:t>
      </w:r>
      <w:r>
        <w:rPr>
          <w:spacing w:val="-11"/>
          <w:sz w:val="24"/>
        </w:rPr>
        <w:t> </w:t>
      </w:r>
      <w:r>
        <w:rPr>
          <w:sz w:val="24"/>
        </w:rPr>
        <w:t>504.181).</w:t>
      </w:r>
    </w:p>
    <w:p>
      <w:pPr>
        <w:spacing w:after="0" w:line="211" w:lineRule="auto"/>
        <w:jc w:val="left"/>
        <w:rPr>
          <w:sz w:val="24"/>
        </w:rPr>
        <w:sectPr>
          <w:pgSz w:w="12240" w:h="15840"/>
          <w:pgMar w:header="0" w:footer="1121" w:top="1040" w:bottom="1320" w:left="1340" w:right="1340"/>
        </w:sectPr>
      </w:pPr>
    </w:p>
    <w:p>
      <w:pPr>
        <w:pStyle w:val="ListParagraph"/>
        <w:numPr>
          <w:ilvl w:val="1"/>
          <w:numId w:val="3"/>
        </w:numPr>
        <w:tabs>
          <w:tab w:pos="1208" w:val="left" w:leader="none"/>
          <w:tab w:pos="1209" w:val="left" w:leader="none"/>
        </w:tabs>
        <w:spacing w:line="211" w:lineRule="auto" w:before="67" w:after="0"/>
        <w:ind w:left="1540" w:right="266" w:hanging="720"/>
        <w:jc w:val="left"/>
        <w:rPr>
          <w:sz w:val="24"/>
        </w:rPr>
      </w:pPr>
      <w:r>
        <w:rPr>
          <w:rFonts w:ascii="Arial"/>
          <w:sz w:val="24"/>
        </w:rPr>
        <w:t>G </w:t>
      </w:r>
      <w:r>
        <w:rPr>
          <w:sz w:val="24"/>
        </w:rPr>
        <w:t>Discovery in Hennepin and Ramsey Housing Courts: Order Plaintiff to provide for the following discovery: allow me to review Plaintiff's file on me, give me a list of Plaintiff's witnesses and the subject of their testimony, and give me a</w:t>
      </w:r>
      <w:r>
        <w:rPr>
          <w:spacing w:val="-19"/>
          <w:sz w:val="24"/>
        </w:rPr>
        <w:t> </w:t>
      </w:r>
      <w:r>
        <w:rPr>
          <w:spacing w:val="-4"/>
          <w:sz w:val="24"/>
        </w:rPr>
        <w:t>copy </w:t>
      </w:r>
      <w:r>
        <w:rPr>
          <w:sz w:val="24"/>
        </w:rPr>
        <w:t>of Plaintiff's exhibits. Minn. Gen. R. Prac.</w:t>
      </w:r>
      <w:r>
        <w:rPr>
          <w:spacing w:val="-1"/>
          <w:sz w:val="24"/>
        </w:rPr>
        <w:t> </w:t>
      </w:r>
      <w:r>
        <w:rPr>
          <w:sz w:val="24"/>
        </w:rPr>
        <w:t>612.</w:t>
      </w:r>
    </w:p>
    <w:p>
      <w:pPr>
        <w:pStyle w:val="BodyText"/>
        <w:rPr>
          <w:sz w:val="21"/>
        </w:rPr>
      </w:pPr>
    </w:p>
    <w:p>
      <w:pPr>
        <w:pStyle w:val="ListParagraph"/>
        <w:numPr>
          <w:ilvl w:val="1"/>
          <w:numId w:val="3"/>
        </w:numPr>
        <w:tabs>
          <w:tab w:pos="1208" w:val="left" w:leader="none"/>
          <w:tab w:pos="1209" w:val="left" w:leader="none"/>
        </w:tabs>
        <w:spacing w:line="213" w:lineRule="auto" w:before="1" w:after="0"/>
        <w:ind w:left="1540" w:right="233" w:hanging="720"/>
        <w:jc w:val="left"/>
        <w:rPr>
          <w:sz w:val="24"/>
        </w:rPr>
      </w:pPr>
      <w:r>
        <w:rPr>
          <w:rFonts w:ascii="Arial"/>
          <w:sz w:val="24"/>
        </w:rPr>
        <w:t>G </w:t>
      </w:r>
      <w:r>
        <w:rPr>
          <w:sz w:val="24"/>
        </w:rPr>
        <w:t>Plaintiff is a business which did not register its trade name with the Secretary of State. Continue the hearing to allow Plaintiff to register its trade name, award</w:t>
      </w:r>
      <w:r>
        <w:rPr>
          <w:spacing w:val="-7"/>
          <w:sz w:val="24"/>
        </w:rPr>
        <w:t> </w:t>
      </w:r>
      <w:r>
        <w:rPr>
          <w:spacing w:val="-9"/>
          <w:sz w:val="24"/>
        </w:rPr>
        <w:t>me</w:t>
      </w:r>
    </w:p>
    <w:p>
      <w:pPr>
        <w:pStyle w:val="BodyText"/>
        <w:spacing w:line="213" w:lineRule="auto"/>
        <w:ind w:left="1540" w:right="183"/>
      </w:pPr>
      <w:r>
        <w:rPr/>
        <w:t>$250.00 in costs or by setoff, Minn. Stat. § 333.001-333.06, and allow me to credit the award against rent.</w:t>
      </w:r>
    </w:p>
    <w:p>
      <w:pPr>
        <w:pStyle w:val="BodyText"/>
        <w:spacing w:before="7"/>
        <w:rPr>
          <w:sz w:val="20"/>
        </w:rPr>
      </w:pPr>
    </w:p>
    <w:p>
      <w:pPr>
        <w:pStyle w:val="ListParagraph"/>
        <w:numPr>
          <w:ilvl w:val="1"/>
          <w:numId w:val="3"/>
        </w:numPr>
        <w:tabs>
          <w:tab w:pos="1208" w:val="left" w:leader="none"/>
          <w:tab w:pos="1209" w:val="left" w:leader="none"/>
        </w:tabs>
        <w:spacing w:line="211" w:lineRule="auto" w:before="1" w:after="0"/>
        <w:ind w:left="1540" w:right="168" w:hanging="720"/>
        <w:jc w:val="left"/>
        <w:rPr>
          <w:sz w:val="24"/>
        </w:rPr>
      </w:pPr>
      <w:r>
        <w:rPr>
          <w:rFonts w:ascii="Arial"/>
          <w:sz w:val="24"/>
        </w:rPr>
        <w:t>G </w:t>
      </w:r>
      <w:r>
        <w:rPr>
          <w:sz w:val="24"/>
        </w:rPr>
        <w:t>Plaintiff violated the shared meter statute. Abate my rent and award me treble damages or $500, whichever is greater, and reasonable </w:t>
      </w:r>
      <w:r>
        <w:rPr>
          <w:spacing w:val="-3"/>
          <w:sz w:val="24"/>
        </w:rPr>
        <w:t>attorney's </w:t>
      </w:r>
      <w:r>
        <w:rPr>
          <w:sz w:val="24"/>
        </w:rPr>
        <w:t>fees. Minn.</w:t>
      </w:r>
      <w:r>
        <w:rPr>
          <w:spacing w:val="4"/>
          <w:sz w:val="24"/>
        </w:rPr>
        <w:t> </w:t>
      </w:r>
      <w:r>
        <w:rPr>
          <w:spacing w:val="-4"/>
          <w:sz w:val="24"/>
        </w:rPr>
        <w:t>Stat.</w:t>
      </w:r>
    </w:p>
    <w:p>
      <w:pPr>
        <w:pStyle w:val="BodyText"/>
        <w:spacing w:line="251" w:lineRule="exact"/>
        <w:ind w:left="1540"/>
      </w:pPr>
      <w:r>
        <w:rPr/>
        <w:t>§ 504B.215 (formerly § 504.185), § 504B.221 (formerly § 504.26).</w:t>
      </w:r>
    </w:p>
    <w:p>
      <w:pPr>
        <w:pStyle w:val="ListParagraph"/>
        <w:numPr>
          <w:ilvl w:val="1"/>
          <w:numId w:val="3"/>
        </w:numPr>
        <w:tabs>
          <w:tab w:pos="1208" w:val="left" w:leader="none"/>
          <w:tab w:pos="1209" w:val="left" w:leader="none"/>
          <w:tab w:pos="9377" w:val="left" w:leader="none"/>
        </w:tabs>
        <w:spacing w:line="240" w:lineRule="auto" w:before="210" w:after="0"/>
        <w:ind w:left="1208" w:right="0" w:hanging="389"/>
        <w:jc w:val="left"/>
        <w:rPr>
          <w:sz w:val="24"/>
        </w:rPr>
      </w:pPr>
      <w:r>
        <w:rPr>
          <w:rFonts w:ascii="Arial"/>
          <w:sz w:val="24"/>
        </w:rPr>
        <w:t>G  </w:t>
      </w:r>
      <w:r>
        <w:rPr>
          <w:sz w:val="24"/>
        </w:rPr>
        <w:t>Continue the hearing for the</w:t>
      </w:r>
      <w:r>
        <w:rPr>
          <w:spacing w:val="5"/>
          <w:sz w:val="24"/>
        </w:rPr>
        <w:t> </w:t>
      </w:r>
      <w:r>
        <w:rPr>
          <w:sz w:val="24"/>
        </w:rPr>
        <w:t>following</w:t>
      </w:r>
      <w:r>
        <w:rPr>
          <w:spacing w:val="-5"/>
          <w:sz w:val="24"/>
        </w:rPr>
        <w:t> </w:t>
      </w:r>
      <w:r>
        <w:rPr>
          <w:sz w:val="24"/>
        </w:rPr>
        <w:t>reasons:</w:t>
      </w:r>
      <w:r>
        <w:rPr>
          <w:sz w:val="24"/>
          <w:u w:val="single"/>
        </w:rPr>
        <w:t> </w:t>
        <w:tab/>
      </w:r>
      <w:r>
        <w:rPr>
          <w:sz w:val="24"/>
        </w:rPr>
        <w:t>.</w:t>
      </w:r>
    </w:p>
    <w:p>
      <w:pPr>
        <w:pStyle w:val="ListParagraph"/>
        <w:numPr>
          <w:ilvl w:val="1"/>
          <w:numId w:val="3"/>
        </w:numPr>
        <w:tabs>
          <w:tab w:pos="1208" w:val="left" w:leader="none"/>
          <w:tab w:pos="1209" w:val="left" w:leader="none"/>
        </w:tabs>
        <w:spacing w:line="240" w:lineRule="auto" w:before="210" w:after="0"/>
        <w:ind w:left="1208" w:right="0" w:hanging="389"/>
        <w:jc w:val="left"/>
        <w:rPr>
          <w:sz w:val="24"/>
        </w:rPr>
      </w:pPr>
      <w:r>
        <w:rPr>
          <w:rFonts w:ascii="Arial"/>
          <w:sz w:val="24"/>
        </w:rPr>
        <w:t>G </w:t>
      </w:r>
      <w:r>
        <w:rPr>
          <w:spacing w:val="-3"/>
          <w:sz w:val="24"/>
        </w:rPr>
        <w:t>If </w:t>
      </w:r>
      <w:r>
        <w:rPr>
          <w:sz w:val="24"/>
        </w:rPr>
        <w:t>I owe</w:t>
      </w:r>
      <w:r>
        <w:rPr>
          <w:spacing w:val="1"/>
          <w:sz w:val="24"/>
        </w:rPr>
        <w:t> </w:t>
      </w:r>
      <w:r>
        <w:rPr>
          <w:sz w:val="24"/>
        </w:rPr>
        <w:t>rent:</w:t>
      </w:r>
    </w:p>
    <w:p>
      <w:pPr>
        <w:pStyle w:val="BodyText"/>
        <w:spacing w:before="7"/>
        <w:rPr>
          <w:sz w:val="20"/>
        </w:rPr>
      </w:pPr>
    </w:p>
    <w:p>
      <w:pPr>
        <w:pStyle w:val="ListParagraph"/>
        <w:numPr>
          <w:ilvl w:val="2"/>
          <w:numId w:val="3"/>
        </w:numPr>
        <w:tabs>
          <w:tab w:pos="2260" w:val="left" w:leader="none"/>
        </w:tabs>
        <w:spacing w:line="211" w:lineRule="auto" w:before="0" w:after="0"/>
        <w:ind w:left="2980" w:right="222" w:hanging="1440"/>
        <w:jc w:val="both"/>
        <w:rPr>
          <w:sz w:val="24"/>
        </w:rPr>
      </w:pPr>
      <w:r>
        <w:rPr>
          <w:rFonts w:ascii="Arial" w:hAnsi="Arial"/>
          <w:sz w:val="24"/>
        </w:rPr>
        <w:t>G </w:t>
      </w:r>
      <w:r>
        <w:rPr>
          <w:sz w:val="24"/>
        </w:rPr>
        <w:t>Plaintiff alleged nonpayment of rent and holding over after </w:t>
      </w:r>
      <w:r>
        <w:rPr>
          <w:spacing w:val="-3"/>
          <w:sz w:val="24"/>
        </w:rPr>
        <w:t>notice. </w:t>
      </w:r>
      <w:r>
        <w:rPr>
          <w:sz w:val="24"/>
        </w:rPr>
        <w:t>Allow me to pay the rent and keep my home. Minn. Stat. §</w:t>
      </w:r>
      <w:r>
        <w:rPr>
          <w:spacing w:val="-22"/>
          <w:sz w:val="24"/>
        </w:rPr>
        <w:t> </w:t>
      </w:r>
      <w:r>
        <w:rPr>
          <w:sz w:val="24"/>
        </w:rPr>
        <w:t>504B.- 291 (formerly §</w:t>
      </w:r>
      <w:r>
        <w:rPr>
          <w:spacing w:val="-12"/>
          <w:sz w:val="24"/>
        </w:rPr>
        <w:t> </w:t>
      </w:r>
      <w:r>
        <w:rPr>
          <w:sz w:val="24"/>
        </w:rPr>
        <w:t>504.02).</w:t>
      </w:r>
    </w:p>
    <w:p>
      <w:pPr>
        <w:pStyle w:val="ListParagraph"/>
        <w:numPr>
          <w:ilvl w:val="2"/>
          <w:numId w:val="3"/>
        </w:numPr>
        <w:tabs>
          <w:tab w:pos="2259" w:val="left" w:leader="none"/>
          <w:tab w:pos="2260" w:val="left" w:leader="none"/>
          <w:tab w:pos="2979" w:val="left" w:leader="none"/>
        </w:tabs>
        <w:spacing w:line="211" w:lineRule="auto" w:before="0" w:after="0"/>
        <w:ind w:left="2980" w:right="250" w:hanging="1440"/>
        <w:jc w:val="left"/>
        <w:rPr>
          <w:sz w:val="24"/>
        </w:rPr>
      </w:pPr>
      <w:r>
        <w:rPr>
          <w:rFonts w:ascii="Arial" w:hAnsi="Arial"/>
          <w:sz w:val="24"/>
        </w:rPr>
        <w:t>G</w:t>
        <w:tab/>
      </w:r>
      <w:r>
        <w:rPr>
          <w:sz w:val="24"/>
        </w:rPr>
        <w:t>Plaintiff alleged nonpayment of rent and material lease</w:t>
      </w:r>
      <w:r>
        <w:rPr>
          <w:spacing w:val="-26"/>
          <w:sz w:val="24"/>
        </w:rPr>
        <w:t> </w:t>
      </w:r>
      <w:r>
        <w:rPr>
          <w:sz w:val="24"/>
        </w:rPr>
        <w:t>violations. </w:t>
      </w:r>
      <w:r>
        <w:rPr>
          <w:spacing w:val="-3"/>
          <w:sz w:val="24"/>
        </w:rPr>
        <w:t>If </w:t>
      </w:r>
      <w:r>
        <w:rPr>
          <w:sz w:val="24"/>
        </w:rPr>
        <w:t>I did not commit a material lease violation but I owe rent, give me 7 </w:t>
      </w:r>
      <w:r>
        <w:rPr>
          <w:spacing w:val="-3"/>
          <w:sz w:val="24"/>
        </w:rPr>
        <w:t>days </w:t>
      </w:r>
      <w:r>
        <w:rPr>
          <w:sz w:val="24"/>
        </w:rPr>
        <w:t>to pay. Minn. Stat. § 504B.285 (formerly §</w:t>
      </w:r>
      <w:r>
        <w:rPr>
          <w:spacing w:val="-13"/>
          <w:sz w:val="24"/>
        </w:rPr>
        <w:t> </w:t>
      </w:r>
      <w:r>
        <w:rPr>
          <w:sz w:val="24"/>
        </w:rPr>
        <w:t>566.03).</w:t>
      </w:r>
    </w:p>
    <w:p>
      <w:pPr>
        <w:pStyle w:val="ListParagraph"/>
        <w:numPr>
          <w:ilvl w:val="2"/>
          <w:numId w:val="3"/>
        </w:numPr>
        <w:tabs>
          <w:tab w:pos="2259" w:val="left" w:leader="none"/>
          <w:tab w:pos="2260" w:val="left" w:leader="none"/>
          <w:tab w:pos="2979" w:val="left" w:leader="none"/>
          <w:tab w:pos="5119" w:val="left" w:leader="none"/>
        </w:tabs>
        <w:spacing w:line="253" w:lineRule="exact" w:before="0" w:after="0"/>
        <w:ind w:left="2260" w:right="0" w:hanging="720"/>
        <w:jc w:val="left"/>
        <w:rPr>
          <w:sz w:val="24"/>
        </w:rPr>
      </w:pPr>
      <w:r>
        <w:rPr>
          <w:rFonts w:ascii="Arial"/>
          <w:sz w:val="24"/>
        </w:rPr>
        <w:t>G</w:t>
        <w:tab/>
      </w:r>
      <w:r>
        <w:rPr>
          <w:sz w:val="24"/>
        </w:rPr>
        <w:t>Give me</w:t>
        <w:tab/>
      </w:r>
      <w:r>
        <w:rPr>
          <w:spacing w:val="-3"/>
          <w:sz w:val="24"/>
        </w:rPr>
        <w:t>days </w:t>
      </w:r>
      <w:r>
        <w:rPr>
          <w:sz w:val="24"/>
        </w:rPr>
        <w:t>to pay it. </w:t>
      </w:r>
      <w:r>
        <w:rPr>
          <w:i/>
          <w:sz w:val="24"/>
        </w:rPr>
        <w:t>614 Co. v. D.H.</w:t>
      </w:r>
      <w:r>
        <w:rPr>
          <w:i/>
          <w:spacing w:val="-8"/>
          <w:sz w:val="24"/>
        </w:rPr>
        <w:t> </w:t>
      </w:r>
      <w:r>
        <w:rPr>
          <w:i/>
          <w:sz w:val="24"/>
        </w:rPr>
        <w:t>Overmayer</w:t>
      </w:r>
      <w:r>
        <w:rPr>
          <w:sz w:val="24"/>
        </w:rPr>
        <w:t>,</w:t>
      </w:r>
    </w:p>
    <w:p>
      <w:pPr>
        <w:pStyle w:val="BodyText"/>
        <w:spacing w:line="20" w:lineRule="exact"/>
        <w:ind w:left="3854"/>
        <w:rPr>
          <w:sz w:val="2"/>
        </w:rPr>
      </w:pPr>
      <w:r>
        <w:rPr>
          <w:sz w:val="2"/>
        </w:rPr>
        <w:pict>
          <v:group style="width:60pt;height:.5pt;mso-position-horizontal-relative:char;mso-position-vertical-relative:line" coordorigin="0,0" coordsize="1200,10">
            <v:line style="position:absolute" from="0,5" to="1200,5" stroked="true" strokeweight=".492pt" strokecolor="#000000">
              <v:stroke dashstyle="solid"/>
            </v:line>
          </v:group>
        </w:pict>
      </w:r>
      <w:r>
        <w:rPr>
          <w:sz w:val="2"/>
        </w:rPr>
      </w:r>
    </w:p>
    <w:p>
      <w:pPr>
        <w:pStyle w:val="BodyText"/>
        <w:spacing w:line="207" w:lineRule="exact"/>
        <w:ind w:left="2980"/>
      </w:pPr>
      <w:r>
        <w:rPr/>
        <w:t>297 Minn. 395, 398, 211 N.W.2d 891, 893 (1973) (affirmed 30 day</w:t>
      </w:r>
    </w:p>
    <w:p>
      <w:pPr>
        <w:pStyle w:val="BodyText"/>
        <w:spacing w:line="243" w:lineRule="exact"/>
        <w:ind w:left="2980"/>
      </w:pPr>
      <w:r>
        <w:rPr/>
        <w:t>extension to pay rent).</w:t>
      </w:r>
    </w:p>
    <w:p>
      <w:pPr>
        <w:pStyle w:val="ListParagraph"/>
        <w:numPr>
          <w:ilvl w:val="2"/>
          <w:numId w:val="3"/>
        </w:numPr>
        <w:tabs>
          <w:tab w:pos="2259" w:val="left" w:leader="none"/>
          <w:tab w:pos="2260" w:val="left" w:leader="none"/>
          <w:tab w:pos="2979" w:val="left" w:leader="none"/>
        </w:tabs>
        <w:spacing w:line="260" w:lineRule="exact" w:before="0" w:after="0"/>
        <w:ind w:left="2260" w:right="0" w:hanging="720"/>
        <w:jc w:val="left"/>
        <w:rPr>
          <w:sz w:val="24"/>
        </w:rPr>
      </w:pPr>
      <w:r>
        <w:rPr>
          <w:rFonts w:ascii="Arial"/>
          <w:sz w:val="24"/>
        </w:rPr>
        <w:t>G</w:t>
        <w:tab/>
      </w:r>
      <w:r>
        <w:rPr>
          <w:sz w:val="24"/>
        </w:rPr>
        <w:t>I have paid or can pay the rent due at the hearing. </w:t>
      </w:r>
      <w:r>
        <w:rPr>
          <w:spacing w:val="-3"/>
          <w:sz w:val="24"/>
        </w:rPr>
        <w:t>If </w:t>
      </w:r>
      <w:r>
        <w:rPr>
          <w:sz w:val="24"/>
        </w:rPr>
        <w:t>I owe</w:t>
      </w:r>
      <w:r>
        <w:rPr>
          <w:spacing w:val="-31"/>
          <w:sz w:val="24"/>
        </w:rPr>
        <w:t> </w:t>
      </w:r>
      <w:r>
        <w:rPr>
          <w:sz w:val="24"/>
        </w:rPr>
        <w:t>addi-</w:t>
      </w:r>
    </w:p>
    <w:p>
      <w:pPr>
        <w:spacing w:after="0" w:line="260" w:lineRule="exact"/>
        <w:jc w:val="left"/>
        <w:rPr>
          <w:sz w:val="24"/>
        </w:rPr>
        <w:sectPr>
          <w:pgSz w:w="12240" w:h="15840"/>
          <w:pgMar w:header="0" w:footer="1121" w:top="1040" w:bottom="1320" w:left="1340" w:right="1340"/>
        </w:sectPr>
      </w:pPr>
    </w:p>
    <w:p>
      <w:pPr>
        <w:pStyle w:val="BodyText"/>
        <w:spacing w:line="211" w:lineRule="auto"/>
        <w:ind w:left="2980"/>
      </w:pPr>
      <w:r>
        <w:rPr/>
        <w:pict>
          <v:line style="position:absolute;mso-position-horizontal-relative:page;mso-position-vertical-relative:paragraph;z-index:-252124160" from="317.567993pt,12.20475pt" to="371.567996pt,12.20475pt" stroked="true" strokeweight=".492pt" strokecolor="#000000">
            <v:stroke dashstyle="solid"/>
            <w10:wrap type="none"/>
          </v:line>
        </w:pict>
      </w:r>
      <w:r>
        <w:rPr/>
        <w:t>tional costs, give me 504B.291 (formerly §</w:t>
      </w:r>
      <w:r>
        <w:rPr>
          <w:spacing w:val="-8"/>
        </w:rPr>
        <w:t> </w:t>
      </w:r>
      <w:r>
        <w:rPr>
          <w:spacing w:val="-3"/>
        </w:rPr>
        <w:t>504.02).</w:t>
      </w:r>
    </w:p>
    <w:p>
      <w:pPr>
        <w:pStyle w:val="BodyText"/>
        <w:spacing w:line="245" w:lineRule="exact"/>
        <w:ind w:left="183"/>
      </w:pPr>
      <w:r>
        <w:rPr/>
        <w:br w:type="column"/>
      </w:r>
      <w:r>
        <w:rPr/>
        <w:t>days to pay them. Minn. Stat. §</w:t>
      </w:r>
    </w:p>
    <w:p>
      <w:pPr>
        <w:spacing w:after="0" w:line="245" w:lineRule="exact"/>
        <w:sectPr>
          <w:type w:val="continuous"/>
          <w:pgSz w:w="12240" w:h="15840"/>
          <w:pgMar w:top="1160" w:bottom="1320" w:left="1340" w:right="1340"/>
          <w:cols w:num="2" w:equalWidth="0">
            <w:col w:w="5928" w:space="40"/>
            <w:col w:w="3592"/>
          </w:cols>
        </w:sectPr>
      </w:pPr>
    </w:p>
    <w:p>
      <w:pPr>
        <w:pStyle w:val="BodyText"/>
        <w:spacing w:before="3"/>
        <w:rPr>
          <w:sz w:val="12"/>
        </w:rPr>
      </w:pPr>
    </w:p>
    <w:p>
      <w:pPr>
        <w:pStyle w:val="ListParagraph"/>
        <w:numPr>
          <w:ilvl w:val="1"/>
          <w:numId w:val="3"/>
        </w:numPr>
        <w:tabs>
          <w:tab w:pos="1209" w:val="left" w:leader="none"/>
        </w:tabs>
        <w:spacing w:line="211" w:lineRule="auto" w:before="97" w:after="0"/>
        <w:ind w:left="1540" w:right="159" w:hanging="720"/>
        <w:jc w:val="both"/>
        <w:rPr>
          <w:sz w:val="24"/>
        </w:rPr>
      </w:pPr>
      <w:r>
        <w:rPr>
          <w:rFonts w:ascii="Arial" w:hAnsi="Arial"/>
          <w:sz w:val="24"/>
        </w:rPr>
        <w:t>G </w:t>
      </w:r>
      <w:r>
        <w:rPr>
          <w:sz w:val="24"/>
        </w:rPr>
        <w:t>Under the Servicemembers Civil Relief Act, stay of the action for 90 </w:t>
      </w:r>
      <w:r>
        <w:rPr>
          <w:spacing w:val="-3"/>
          <w:sz w:val="24"/>
        </w:rPr>
        <w:t>days, </w:t>
      </w:r>
      <w:r>
        <w:rPr>
          <w:sz w:val="24"/>
        </w:rPr>
        <w:t>unless equity requires a shorter or longer stay, or adjust the obligations under the lease</w:t>
      </w:r>
      <w:r>
        <w:rPr>
          <w:spacing w:val="-28"/>
          <w:sz w:val="24"/>
        </w:rPr>
        <w:t> </w:t>
      </w:r>
      <w:r>
        <w:rPr>
          <w:spacing w:val="-8"/>
          <w:sz w:val="24"/>
        </w:rPr>
        <w:t>to </w:t>
      </w:r>
      <w:r>
        <w:rPr>
          <w:sz w:val="24"/>
        </w:rPr>
        <w:t>preserve the interests of all parties. 50 App. U.S.C.A §§ 501-594.</w:t>
      </w:r>
    </w:p>
    <w:p>
      <w:pPr>
        <w:pStyle w:val="BodyText"/>
        <w:spacing w:before="11"/>
        <w:rPr>
          <w:sz w:val="18"/>
        </w:rPr>
      </w:pPr>
    </w:p>
    <w:p>
      <w:pPr>
        <w:pStyle w:val="ListParagraph"/>
        <w:numPr>
          <w:ilvl w:val="1"/>
          <w:numId w:val="3"/>
        </w:numPr>
        <w:tabs>
          <w:tab w:pos="1209" w:val="left" w:leader="none"/>
        </w:tabs>
        <w:spacing w:line="240" w:lineRule="auto" w:before="0" w:after="0"/>
        <w:ind w:left="1208" w:right="0" w:hanging="389"/>
        <w:jc w:val="left"/>
        <w:rPr>
          <w:sz w:val="24"/>
        </w:rPr>
      </w:pPr>
      <w:r>
        <w:rPr>
          <w:rFonts w:ascii="Arial"/>
          <w:sz w:val="24"/>
        </w:rPr>
        <w:t>G  </w:t>
      </w:r>
      <w:r>
        <w:rPr>
          <w:spacing w:val="-3"/>
          <w:sz w:val="24"/>
        </w:rPr>
        <w:t>If </w:t>
      </w:r>
      <w:r>
        <w:rPr>
          <w:sz w:val="24"/>
        </w:rPr>
        <w:t>I</w:t>
      </w:r>
      <w:r>
        <w:rPr>
          <w:spacing w:val="6"/>
          <w:sz w:val="24"/>
        </w:rPr>
        <w:t> </w:t>
      </w:r>
      <w:r>
        <w:rPr>
          <w:sz w:val="24"/>
        </w:rPr>
        <w:t>lose:</w:t>
      </w:r>
    </w:p>
    <w:p>
      <w:pPr>
        <w:pStyle w:val="BodyText"/>
        <w:spacing w:before="7"/>
        <w:rPr>
          <w:sz w:val="20"/>
        </w:rPr>
      </w:pPr>
    </w:p>
    <w:p>
      <w:pPr>
        <w:pStyle w:val="ListParagraph"/>
        <w:numPr>
          <w:ilvl w:val="2"/>
          <w:numId w:val="3"/>
        </w:numPr>
        <w:tabs>
          <w:tab w:pos="2259" w:val="left" w:leader="none"/>
          <w:tab w:pos="2260" w:val="left" w:leader="none"/>
          <w:tab w:pos="2979" w:val="left" w:leader="none"/>
        </w:tabs>
        <w:spacing w:line="211" w:lineRule="auto" w:before="0" w:after="0"/>
        <w:ind w:left="2980" w:right="184" w:hanging="1440"/>
        <w:jc w:val="left"/>
        <w:rPr>
          <w:sz w:val="24"/>
        </w:rPr>
      </w:pPr>
      <w:r>
        <w:rPr>
          <w:rFonts w:ascii="Arial" w:hAnsi="Arial"/>
          <w:sz w:val="24"/>
        </w:rPr>
        <w:t>G</w:t>
        <w:tab/>
      </w:r>
      <w:r>
        <w:rPr>
          <w:sz w:val="24"/>
        </w:rPr>
        <w:t>Give me seven </w:t>
      </w:r>
      <w:r>
        <w:rPr>
          <w:spacing w:val="-3"/>
          <w:sz w:val="24"/>
        </w:rPr>
        <w:t>days </w:t>
      </w:r>
      <w:r>
        <w:rPr>
          <w:sz w:val="24"/>
        </w:rPr>
        <w:t>to move. Minn. Stat. § 504B.345 (formerly § 566.09). I did not cause a nuisance, or seriously endanger other tenants, their property, or the landlord's property. </w:t>
      </w:r>
      <w:r>
        <w:rPr>
          <w:spacing w:val="-3"/>
          <w:sz w:val="24"/>
        </w:rPr>
        <w:t>If </w:t>
      </w:r>
      <w:r>
        <w:rPr>
          <w:sz w:val="24"/>
        </w:rPr>
        <w:t>I have to</w:t>
      </w:r>
      <w:r>
        <w:rPr>
          <w:spacing w:val="-27"/>
          <w:sz w:val="24"/>
        </w:rPr>
        <w:t> </w:t>
      </w:r>
      <w:r>
        <w:rPr>
          <w:spacing w:val="-4"/>
          <w:sz w:val="24"/>
        </w:rPr>
        <w:t>move </w:t>
      </w:r>
      <w:r>
        <w:rPr>
          <w:sz w:val="24"/>
        </w:rPr>
        <w:t>in less than 7 days, it would be a substantial hardship to my</w:t>
      </w:r>
      <w:r>
        <w:rPr>
          <w:spacing w:val="-18"/>
          <w:sz w:val="24"/>
        </w:rPr>
        <w:t> </w:t>
      </w:r>
      <w:r>
        <w:rPr>
          <w:sz w:val="24"/>
        </w:rPr>
        <w:t>family and me.</w:t>
      </w:r>
    </w:p>
    <w:p>
      <w:pPr>
        <w:pStyle w:val="ListParagraph"/>
        <w:numPr>
          <w:ilvl w:val="2"/>
          <w:numId w:val="3"/>
        </w:numPr>
        <w:tabs>
          <w:tab w:pos="2259" w:val="left" w:leader="none"/>
          <w:tab w:pos="2260" w:val="left" w:leader="none"/>
          <w:tab w:pos="2979" w:val="left" w:leader="none"/>
        </w:tabs>
        <w:spacing w:line="211" w:lineRule="auto" w:before="4" w:after="0"/>
        <w:ind w:left="2980" w:right="129" w:hanging="1440"/>
        <w:jc w:val="left"/>
        <w:rPr>
          <w:sz w:val="24"/>
        </w:rPr>
      </w:pPr>
      <w:r>
        <w:rPr>
          <w:rFonts w:ascii="Arial" w:hAnsi="Arial"/>
          <w:sz w:val="24"/>
        </w:rPr>
        <w:t>G</w:t>
        <w:tab/>
      </w:r>
      <w:r>
        <w:rPr>
          <w:sz w:val="24"/>
        </w:rPr>
        <w:t>Alternatively, give me more time to move. House File No. 4556, Art. 1, §16 suspends statutory deadlines for district and appellate court proceedings. </w:t>
      </w:r>
      <w:r>
        <w:rPr>
          <w:spacing w:val="-3"/>
          <w:sz w:val="24"/>
        </w:rPr>
        <w:t>It </w:t>
      </w:r>
      <w:r>
        <w:rPr>
          <w:sz w:val="24"/>
        </w:rPr>
        <w:t>also provides that courts may continue to </w:t>
      </w:r>
      <w:r>
        <w:rPr>
          <w:spacing w:val="-5"/>
          <w:sz w:val="24"/>
        </w:rPr>
        <w:t>hold </w:t>
      </w:r>
      <w:r>
        <w:rPr>
          <w:sz w:val="24"/>
        </w:rPr>
        <w:t>hearings, require appearances, or issue orders if "circumstances relevant to public safety, personal safety, or other emergency matters require action in a specific case."</w:t>
      </w:r>
    </w:p>
    <w:p>
      <w:pPr>
        <w:pStyle w:val="BodyText"/>
        <w:rPr>
          <w:sz w:val="19"/>
        </w:rPr>
      </w:pPr>
    </w:p>
    <w:p>
      <w:pPr>
        <w:pStyle w:val="ListParagraph"/>
        <w:numPr>
          <w:ilvl w:val="1"/>
          <w:numId w:val="3"/>
        </w:numPr>
        <w:tabs>
          <w:tab w:pos="1209" w:val="left" w:leader="none"/>
        </w:tabs>
        <w:spacing w:line="240" w:lineRule="auto" w:before="0" w:after="0"/>
        <w:ind w:left="1208" w:right="0" w:hanging="389"/>
        <w:jc w:val="left"/>
        <w:rPr>
          <w:sz w:val="24"/>
        </w:rPr>
      </w:pPr>
      <w:r>
        <w:rPr>
          <w:rFonts w:ascii="Arial"/>
          <w:sz w:val="24"/>
        </w:rPr>
        <w:t>G </w:t>
      </w:r>
      <w:r>
        <w:rPr>
          <w:sz w:val="24"/>
        </w:rPr>
        <w:t>Costs and</w:t>
      </w:r>
      <w:r>
        <w:rPr>
          <w:spacing w:val="5"/>
          <w:sz w:val="24"/>
        </w:rPr>
        <w:t> </w:t>
      </w:r>
      <w:r>
        <w:rPr>
          <w:sz w:val="24"/>
        </w:rPr>
        <w:t>Disbursements:</w:t>
      </w:r>
    </w:p>
    <w:p>
      <w:pPr>
        <w:pStyle w:val="BodyText"/>
        <w:spacing w:before="6"/>
        <w:rPr>
          <w:sz w:val="20"/>
        </w:rPr>
      </w:pPr>
    </w:p>
    <w:p>
      <w:pPr>
        <w:pStyle w:val="ListParagraph"/>
        <w:numPr>
          <w:ilvl w:val="2"/>
          <w:numId w:val="3"/>
        </w:numPr>
        <w:tabs>
          <w:tab w:pos="2259" w:val="left" w:leader="none"/>
          <w:tab w:pos="2260" w:val="left" w:leader="none"/>
        </w:tabs>
        <w:spacing w:line="213" w:lineRule="auto" w:before="0" w:after="0"/>
        <w:ind w:left="2260" w:right="334" w:hanging="720"/>
        <w:jc w:val="left"/>
        <w:rPr>
          <w:sz w:val="24"/>
        </w:rPr>
      </w:pPr>
      <w:r>
        <w:rPr>
          <w:sz w:val="24"/>
        </w:rPr>
        <w:t>Upon discontinuance or dismissal or when judgment is rendered in my favor on the merits, award me mandatory costs of $200.00. Minn. Stat.</w:t>
      </w:r>
      <w:r>
        <w:rPr>
          <w:spacing w:val="-15"/>
          <w:sz w:val="24"/>
        </w:rPr>
        <w:t> </w:t>
      </w:r>
      <w:r>
        <w:rPr>
          <w:spacing w:val="-18"/>
          <w:sz w:val="24"/>
        </w:rPr>
        <w:t>§</w:t>
      </w:r>
    </w:p>
    <w:p>
      <w:pPr>
        <w:spacing w:after="0" w:line="213" w:lineRule="auto"/>
        <w:jc w:val="left"/>
        <w:rPr>
          <w:sz w:val="24"/>
        </w:rPr>
        <w:sectPr>
          <w:type w:val="continuous"/>
          <w:pgSz w:w="12240" w:h="15840"/>
          <w:pgMar w:top="1160" w:bottom="1320" w:left="1340" w:right="1340"/>
        </w:sectPr>
      </w:pPr>
    </w:p>
    <w:p>
      <w:pPr>
        <w:spacing w:line="211" w:lineRule="auto" w:before="68"/>
        <w:ind w:left="2260" w:right="693" w:firstLine="0"/>
        <w:jc w:val="left"/>
        <w:rPr>
          <w:sz w:val="24"/>
        </w:rPr>
      </w:pPr>
      <w:r>
        <w:rPr>
          <w:sz w:val="24"/>
        </w:rPr>
        <w:t>549.02; </w:t>
      </w:r>
      <w:r>
        <w:rPr>
          <w:i/>
          <w:sz w:val="24"/>
        </w:rPr>
        <w:t>HNA Properties v. Moore</w:t>
      </w:r>
      <w:r>
        <w:rPr>
          <w:sz w:val="24"/>
        </w:rPr>
        <w:t>, 848 N.W.2d 238 (Minn. Ct. App. 2014).</w:t>
      </w:r>
    </w:p>
    <w:p>
      <w:pPr>
        <w:pStyle w:val="ListParagraph"/>
        <w:numPr>
          <w:ilvl w:val="2"/>
          <w:numId w:val="3"/>
        </w:numPr>
        <w:tabs>
          <w:tab w:pos="2259" w:val="left" w:leader="none"/>
          <w:tab w:pos="2260" w:val="left" w:leader="none"/>
        </w:tabs>
        <w:spacing w:line="211" w:lineRule="auto" w:before="2" w:after="0"/>
        <w:ind w:left="2260" w:right="721" w:hanging="720"/>
        <w:jc w:val="left"/>
        <w:rPr>
          <w:i/>
          <w:sz w:val="24"/>
        </w:rPr>
      </w:pPr>
      <w:r>
        <w:rPr>
          <w:spacing w:val="-3"/>
          <w:sz w:val="24"/>
        </w:rPr>
        <w:t>If </w:t>
      </w:r>
      <w:r>
        <w:rPr>
          <w:sz w:val="24"/>
        </w:rPr>
        <w:t>I prevail, award me $5.50 for the cost of filing a satisfaction of </w:t>
      </w:r>
      <w:r>
        <w:rPr>
          <w:spacing w:val="-6"/>
          <w:sz w:val="24"/>
        </w:rPr>
        <w:t>the </w:t>
      </w:r>
      <w:r>
        <w:rPr>
          <w:sz w:val="24"/>
        </w:rPr>
        <w:t>judgment.</w:t>
      </w:r>
      <w:r>
        <w:rPr>
          <w:spacing w:val="-1"/>
          <w:sz w:val="24"/>
        </w:rPr>
        <w:t> </w:t>
      </w:r>
      <w:r>
        <w:rPr>
          <w:i/>
          <w:sz w:val="24"/>
        </w:rPr>
        <w:t>Id.</w:t>
      </w:r>
    </w:p>
    <w:p>
      <w:pPr>
        <w:pStyle w:val="ListParagraph"/>
        <w:numPr>
          <w:ilvl w:val="2"/>
          <w:numId w:val="3"/>
        </w:numPr>
        <w:tabs>
          <w:tab w:pos="2259" w:val="left" w:leader="none"/>
          <w:tab w:pos="2260" w:val="left" w:leader="none"/>
        </w:tabs>
        <w:spacing w:line="211" w:lineRule="auto" w:before="1" w:after="0"/>
        <w:ind w:left="2260" w:right="462" w:hanging="720"/>
        <w:jc w:val="left"/>
        <w:rPr>
          <w:sz w:val="24"/>
        </w:rPr>
      </w:pPr>
      <w:r>
        <w:rPr>
          <w:spacing w:val="-3"/>
          <w:sz w:val="24"/>
        </w:rPr>
        <w:t>If </w:t>
      </w:r>
      <w:r>
        <w:rPr>
          <w:sz w:val="24"/>
        </w:rPr>
        <w:t>I prevail, award me other costs and disbursements </w:t>
      </w:r>
      <w:r>
        <w:rPr>
          <w:spacing w:val="-3"/>
          <w:sz w:val="24"/>
        </w:rPr>
        <w:t>(e.g. </w:t>
      </w:r>
      <w:r>
        <w:rPr>
          <w:sz w:val="24"/>
        </w:rPr>
        <w:t>court filing, service, subpoena, expert, document, and discovery fees). Minn. Stat.</w:t>
      </w:r>
      <w:r>
        <w:rPr>
          <w:spacing w:val="-19"/>
          <w:sz w:val="24"/>
        </w:rPr>
        <w:t> </w:t>
      </w:r>
      <w:r>
        <w:rPr>
          <w:spacing w:val="-15"/>
          <w:sz w:val="24"/>
        </w:rPr>
        <w:t>§ </w:t>
      </w:r>
      <w:r>
        <w:rPr>
          <w:sz w:val="24"/>
        </w:rPr>
        <w:t>549.04.</w:t>
      </w:r>
    </w:p>
    <w:p>
      <w:pPr>
        <w:pStyle w:val="ListParagraph"/>
        <w:numPr>
          <w:ilvl w:val="2"/>
          <w:numId w:val="3"/>
        </w:numPr>
        <w:tabs>
          <w:tab w:pos="2259" w:val="left" w:leader="none"/>
          <w:tab w:pos="2260" w:val="left" w:leader="none"/>
        </w:tabs>
        <w:spacing w:line="211" w:lineRule="auto" w:before="1" w:after="0"/>
        <w:ind w:left="2260" w:right="125" w:hanging="720"/>
        <w:jc w:val="left"/>
        <w:rPr>
          <w:sz w:val="24"/>
        </w:rPr>
      </w:pPr>
      <w:r>
        <w:rPr>
          <w:spacing w:val="-3"/>
          <w:sz w:val="24"/>
        </w:rPr>
        <w:t>If </w:t>
      </w:r>
      <w:r>
        <w:rPr>
          <w:sz w:val="24"/>
        </w:rPr>
        <w:t>I am allowed to proceed </w:t>
      </w:r>
      <w:r>
        <w:rPr>
          <w:i/>
          <w:sz w:val="24"/>
        </w:rPr>
        <w:t>in forma pauperis</w:t>
      </w:r>
      <w:r>
        <w:rPr>
          <w:sz w:val="24"/>
        </w:rPr>
        <w:t>, order Plaintiff to pay any fees waived, costs deferred, or expenses paid by the court (e.g., my filing fee) based on my </w:t>
      </w:r>
      <w:r>
        <w:rPr>
          <w:i/>
          <w:sz w:val="24"/>
        </w:rPr>
        <w:t>in forma pauperis </w:t>
      </w:r>
      <w:r>
        <w:rPr>
          <w:sz w:val="24"/>
        </w:rPr>
        <w:t>status directly to the court</w:t>
      </w:r>
      <w:r>
        <w:rPr>
          <w:spacing w:val="-37"/>
          <w:sz w:val="24"/>
        </w:rPr>
        <w:t> </w:t>
      </w:r>
      <w:r>
        <w:rPr>
          <w:sz w:val="24"/>
        </w:rPr>
        <w:t>administra- tor. Minn. Stat. § 563.01, Subd. 10; </w:t>
      </w:r>
      <w:r>
        <w:rPr>
          <w:i/>
          <w:sz w:val="24"/>
        </w:rPr>
        <w:t>HNA Properties, supra </w:t>
      </w:r>
      <w:r>
        <w:rPr>
          <w:sz w:val="24"/>
        </w:rPr>
        <w:t>at ¶12.a.</w:t>
      </w:r>
    </w:p>
    <w:p>
      <w:pPr>
        <w:pStyle w:val="ListParagraph"/>
        <w:numPr>
          <w:ilvl w:val="2"/>
          <w:numId w:val="3"/>
        </w:numPr>
        <w:tabs>
          <w:tab w:pos="2259" w:val="left" w:leader="none"/>
          <w:tab w:pos="2260" w:val="left" w:leader="none"/>
        </w:tabs>
        <w:spacing w:line="252" w:lineRule="exact" w:before="0" w:after="0"/>
        <w:ind w:left="2260" w:right="0" w:hanging="720"/>
        <w:jc w:val="left"/>
        <w:rPr>
          <w:sz w:val="24"/>
        </w:rPr>
      </w:pPr>
      <w:r>
        <w:rPr>
          <w:sz w:val="24"/>
        </w:rPr>
        <w:t>Do not award costs and disbursements to Plaintiff.</w:t>
      </w:r>
    </w:p>
    <w:p>
      <w:pPr>
        <w:pStyle w:val="ListParagraph"/>
        <w:numPr>
          <w:ilvl w:val="1"/>
          <w:numId w:val="3"/>
        </w:numPr>
        <w:tabs>
          <w:tab w:pos="1209" w:val="left" w:leader="none"/>
        </w:tabs>
        <w:spacing w:line="240" w:lineRule="auto" w:before="210" w:after="0"/>
        <w:ind w:left="1208" w:right="0" w:hanging="389"/>
        <w:jc w:val="left"/>
        <w:rPr>
          <w:sz w:val="24"/>
        </w:rPr>
      </w:pPr>
      <w:r>
        <w:rPr>
          <w:rFonts w:ascii="Arial"/>
          <w:sz w:val="24"/>
        </w:rPr>
        <w:t>G </w:t>
      </w:r>
      <w:r>
        <w:rPr>
          <w:sz w:val="24"/>
        </w:rPr>
        <w:t>Expunge or seal this court</w:t>
      </w:r>
      <w:r>
        <w:rPr>
          <w:spacing w:val="5"/>
          <w:sz w:val="24"/>
        </w:rPr>
        <w:t> </w:t>
      </w:r>
      <w:r>
        <w:rPr>
          <w:sz w:val="24"/>
        </w:rPr>
        <w:t>file.</w:t>
      </w:r>
    </w:p>
    <w:p>
      <w:pPr>
        <w:pStyle w:val="BodyText"/>
        <w:spacing w:before="7"/>
        <w:rPr>
          <w:sz w:val="20"/>
        </w:rPr>
      </w:pPr>
    </w:p>
    <w:p>
      <w:pPr>
        <w:pStyle w:val="ListParagraph"/>
        <w:numPr>
          <w:ilvl w:val="2"/>
          <w:numId w:val="3"/>
        </w:numPr>
        <w:tabs>
          <w:tab w:pos="2259" w:val="left" w:leader="none"/>
          <w:tab w:pos="2260" w:val="left" w:leader="none"/>
          <w:tab w:pos="2979" w:val="left" w:leader="none"/>
        </w:tabs>
        <w:spacing w:line="211" w:lineRule="auto" w:before="0" w:after="0"/>
        <w:ind w:left="2980" w:right="99" w:hanging="1440"/>
        <w:jc w:val="left"/>
        <w:rPr>
          <w:sz w:val="24"/>
        </w:rPr>
      </w:pPr>
      <w:r>
        <w:rPr>
          <w:rFonts w:ascii="Arial"/>
          <w:sz w:val="24"/>
        </w:rPr>
        <w:t>G</w:t>
        <w:tab/>
      </w:r>
      <w:r>
        <w:rPr>
          <w:sz w:val="24"/>
        </w:rPr>
        <w:t>Plaintiff's case is sufficiently without basis in fact or law, which may include lack of jurisdiction over the case. Expungement is clearly in the interests of justice and those interests are not out- weighed by the public's interest in knowing about the record.</w:t>
      </w:r>
      <w:r>
        <w:rPr>
          <w:spacing w:val="-15"/>
          <w:sz w:val="24"/>
        </w:rPr>
        <w:t> </w:t>
      </w:r>
      <w:r>
        <w:rPr>
          <w:spacing w:val="-4"/>
          <w:sz w:val="24"/>
        </w:rPr>
        <w:t>Minn.</w:t>
      </w:r>
    </w:p>
    <w:p>
      <w:pPr>
        <w:pStyle w:val="BodyText"/>
        <w:spacing w:line="252" w:lineRule="exact"/>
        <w:ind w:left="2980"/>
      </w:pPr>
      <w:r>
        <w:rPr/>
        <w:t>Stat. § 484.014</w:t>
      </w:r>
    </w:p>
    <w:p>
      <w:pPr>
        <w:pStyle w:val="BodyText"/>
        <w:spacing w:before="7"/>
        <w:rPr>
          <w:sz w:val="20"/>
        </w:rPr>
      </w:pPr>
    </w:p>
    <w:p>
      <w:pPr>
        <w:pStyle w:val="ListParagraph"/>
        <w:numPr>
          <w:ilvl w:val="2"/>
          <w:numId w:val="3"/>
        </w:numPr>
        <w:tabs>
          <w:tab w:pos="2259" w:val="left" w:leader="none"/>
          <w:tab w:pos="2260" w:val="left" w:leader="none"/>
          <w:tab w:pos="2979" w:val="left" w:leader="none"/>
        </w:tabs>
        <w:spacing w:line="211" w:lineRule="auto" w:before="0" w:after="0"/>
        <w:ind w:left="2980" w:right="232" w:hanging="1440"/>
        <w:jc w:val="left"/>
        <w:rPr>
          <w:sz w:val="24"/>
        </w:rPr>
      </w:pPr>
      <w:r>
        <w:rPr>
          <w:rFonts w:ascii="Arial" w:hAnsi="Arial"/>
          <w:sz w:val="24"/>
        </w:rPr>
        <w:t>G</w:t>
        <w:tab/>
      </w:r>
      <w:r>
        <w:rPr>
          <w:sz w:val="24"/>
        </w:rPr>
        <w:t>The court has inherent authority to expunge this file. </w:t>
      </w:r>
      <w:r>
        <w:rPr>
          <w:i/>
          <w:sz w:val="24"/>
        </w:rPr>
        <w:t>State v. </w:t>
      </w:r>
      <w:r>
        <w:rPr>
          <w:i/>
          <w:spacing w:val="-4"/>
          <w:sz w:val="24"/>
        </w:rPr>
        <w:t>C.A.</w:t>
      </w:r>
      <w:r>
        <w:rPr>
          <w:spacing w:val="-4"/>
          <w:sz w:val="24"/>
        </w:rPr>
        <w:t>, </w:t>
      </w:r>
      <w:r>
        <w:rPr>
          <w:sz w:val="24"/>
        </w:rPr>
        <w:t>304 N.W.2d 353 (Minn. 1981); Minn. Stat. § 504B.345, Subd. 1 (c)(2).</w:t>
      </w:r>
    </w:p>
    <w:p>
      <w:pPr>
        <w:pStyle w:val="BodyText"/>
        <w:spacing w:before="1"/>
        <w:rPr>
          <w:sz w:val="21"/>
        </w:rPr>
      </w:pPr>
    </w:p>
    <w:p>
      <w:pPr>
        <w:pStyle w:val="ListParagraph"/>
        <w:numPr>
          <w:ilvl w:val="2"/>
          <w:numId w:val="3"/>
        </w:numPr>
        <w:tabs>
          <w:tab w:pos="2259" w:val="left" w:leader="none"/>
          <w:tab w:pos="2260" w:val="left" w:leader="none"/>
          <w:tab w:pos="2979" w:val="left" w:leader="none"/>
        </w:tabs>
        <w:spacing w:line="213" w:lineRule="auto" w:before="0" w:after="0"/>
        <w:ind w:left="2980" w:right="200" w:hanging="1440"/>
        <w:jc w:val="left"/>
        <w:rPr>
          <w:sz w:val="24"/>
        </w:rPr>
      </w:pPr>
      <w:r>
        <w:rPr>
          <w:rFonts w:ascii="Arial" w:hAnsi="Arial"/>
          <w:sz w:val="24"/>
        </w:rPr>
        <w:t>G</w:t>
        <w:tab/>
      </w:r>
      <w:r>
        <w:rPr>
          <w:sz w:val="24"/>
        </w:rPr>
        <w:t>This case involved a foreclosed mortgage or cancelled contract </w:t>
      </w:r>
      <w:r>
        <w:rPr>
          <w:spacing w:val="-5"/>
          <w:sz w:val="24"/>
        </w:rPr>
        <w:t>for </w:t>
      </w:r>
      <w:r>
        <w:rPr>
          <w:sz w:val="24"/>
        </w:rPr>
        <w:t>deed and under Minn. Stat. § 484.014, subd. 3,</w:t>
      </w:r>
    </w:p>
    <w:p>
      <w:pPr>
        <w:pStyle w:val="ListParagraph"/>
        <w:numPr>
          <w:ilvl w:val="3"/>
          <w:numId w:val="3"/>
        </w:numPr>
        <w:tabs>
          <w:tab w:pos="2979" w:val="left" w:leader="none"/>
          <w:tab w:pos="2980" w:val="left" w:leader="none"/>
          <w:tab w:pos="3699" w:val="left" w:leader="none"/>
        </w:tabs>
        <w:spacing w:line="260" w:lineRule="exact" w:before="216" w:after="0"/>
        <w:ind w:left="2980" w:right="0" w:hanging="720"/>
        <w:jc w:val="left"/>
        <w:rPr>
          <w:sz w:val="24"/>
        </w:rPr>
      </w:pPr>
      <w:r>
        <w:rPr>
          <w:rFonts w:ascii="Arial"/>
          <w:sz w:val="24"/>
        </w:rPr>
        <w:t>G</w:t>
        <w:tab/>
      </w:r>
      <w:r>
        <w:rPr>
          <w:sz w:val="24"/>
        </w:rPr>
        <w:t>I moved before Plaintiff filed this case,</w:t>
      </w:r>
      <w:r>
        <w:rPr>
          <w:spacing w:val="-6"/>
          <w:sz w:val="24"/>
        </w:rPr>
        <w:t> </w:t>
      </w:r>
      <w:r>
        <w:rPr>
          <w:sz w:val="24"/>
        </w:rPr>
        <w:t>or</w:t>
      </w:r>
    </w:p>
    <w:p>
      <w:pPr>
        <w:pStyle w:val="BodyText"/>
        <w:tabs>
          <w:tab w:pos="2979" w:val="left" w:leader="none"/>
          <w:tab w:pos="3699" w:val="left" w:leader="none"/>
        </w:tabs>
        <w:spacing w:line="213" w:lineRule="auto" w:before="7"/>
        <w:ind w:left="3700" w:right="164" w:hanging="1440"/>
      </w:pPr>
      <w:r>
        <w:rPr/>
        <w:t>ii.</w:t>
        <w:tab/>
      </w:r>
      <w:r>
        <w:rPr>
          <w:rFonts w:ascii="Arial" w:hAnsi="Arial"/>
        </w:rPr>
        <w:t>G</w:t>
        <w:tab/>
      </w:r>
      <w:r>
        <w:rPr/>
        <w:t>I am a tenant and did not receive a proper lease</w:t>
      </w:r>
      <w:r>
        <w:rPr>
          <w:spacing w:val="-21"/>
        </w:rPr>
        <w:t> </w:t>
      </w:r>
      <w:r>
        <w:rPr/>
        <w:t>termination notice under Minn. Stat. §</w:t>
      </w:r>
      <w:r>
        <w:rPr>
          <w:spacing w:val="-1"/>
        </w:rPr>
        <w:t> </w:t>
      </w:r>
      <w:r>
        <w:rPr/>
        <w:t>504B.285.</w:t>
      </w:r>
    </w:p>
    <w:p>
      <w:pPr>
        <w:pStyle w:val="BodyText"/>
        <w:rPr>
          <w:sz w:val="21"/>
        </w:rPr>
      </w:pPr>
    </w:p>
    <w:p>
      <w:pPr>
        <w:pStyle w:val="ListParagraph"/>
        <w:numPr>
          <w:ilvl w:val="2"/>
          <w:numId w:val="3"/>
        </w:numPr>
        <w:tabs>
          <w:tab w:pos="2259" w:val="left" w:leader="none"/>
          <w:tab w:pos="2260" w:val="left" w:leader="none"/>
          <w:tab w:pos="2979" w:val="left" w:leader="none"/>
        </w:tabs>
        <w:spacing w:line="211" w:lineRule="auto" w:before="0" w:after="0"/>
        <w:ind w:left="2980" w:right="246" w:hanging="1440"/>
        <w:jc w:val="left"/>
        <w:rPr>
          <w:sz w:val="24"/>
        </w:rPr>
      </w:pPr>
      <w:r>
        <w:rPr>
          <w:rFonts w:ascii="Arial" w:hAnsi="Arial"/>
          <w:sz w:val="24"/>
        </w:rPr>
        <w:t>G</w:t>
        <w:tab/>
      </w:r>
      <w:r>
        <w:rPr>
          <w:sz w:val="24"/>
        </w:rPr>
        <w:t>The court may expunge this file at the time judgment is entered </w:t>
      </w:r>
      <w:r>
        <w:rPr>
          <w:spacing w:val="-8"/>
          <w:sz w:val="24"/>
        </w:rPr>
        <w:t>or </w:t>
      </w:r>
      <w:r>
        <w:rPr>
          <w:sz w:val="24"/>
        </w:rPr>
        <w:t>after that time. Minn. Stat. § 504B.345, Subd. 1</w:t>
      </w:r>
      <w:r>
        <w:rPr>
          <w:spacing w:val="-1"/>
          <w:sz w:val="24"/>
        </w:rPr>
        <w:t> </w:t>
      </w:r>
      <w:r>
        <w:rPr>
          <w:sz w:val="24"/>
        </w:rPr>
        <w:t>(c)(2).</w:t>
      </w:r>
    </w:p>
    <w:p>
      <w:pPr>
        <w:pStyle w:val="BodyText"/>
        <w:spacing w:before="11"/>
        <w:rPr>
          <w:sz w:val="20"/>
        </w:rPr>
      </w:pPr>
    </w:p>
    <w:p>
      <w:pPr>
        <w:pStyle w:val="ListParagraph"/>
        <w:numPr>
          <w:ilvl w:val="1"/>
          <w:numId w:val="3"/>
        </w:numPr>
        <w:tabs>
          <w:tab w:pos="1209" w:val="left" w:leader="none"/>
        </w:tabs>
        <w:spacing w:line="213" w:lineRule="auto" w:before="0" w:after="0"/>
        <w:ind w:left="1540" w:right="377" w:hanging="720"/>
        <w:jc w:val="left"/>
        <w:rPr>
          <w:sz w:val="24"/>
        </w:rPr>
      </w:pPr>
      <w:r>
        <w:rPr>
          <w:rFonts w:ascii="Arial" w:hAnsi="Arial"/>
          <w:sz w:val="24"/>
        </w:rPr>
        <w:t>G </w:t>
      </w:r>
      <w:r>
        <w:rPr>
          <w:sz w:val="24"/>
        </w:rPr>
        <w:t>I request a stay of this action without bond for 90 </w:t>
      </w:r>
      <w:r>
        <w:rPr>
          <w:spacing w:val="-3"/>
          <w:sz w:val="24"/>
        </w:rPr>
        <w:t>days </w:t>
      </w:r>
      <w:r>
        <w:rPr>
          <w:sz w:val="24"/>
        </w:rPr>
        <w:t>to allow me to file an action to challenge an illegal foreclosure reconveyance. Minn. Stat. §</w:t>
      </w:r>
      <w:r>
        <w:rPr>
          <w:spacing w:val="42"/>
          <w:sz w:val="24"/>
        </w:rPr>
        <w:t> </w:t>
      </w:r>
      <w:r>
        <w:rPr>
          <w:spacing w:val="-3"/>
          <w:sz w:val="24"/>
        </w:rPr>
        <w:t>325N.18.</w:t>
      </w:r>
    </w:p>
    <w:p>
      <w:pPr>
        <w:pStyle w:val="BodyText"/>
        <w:rPr>
          <w:sz w:val="21"/>
        </w:rPr>
      </w:pPr>
    </w:p>
    <w:p>
      <w:pPr>
        <w:pStyle w:val="ListParagraph"/>
        <w:numPr>
          <w:ilvl w:val="1"/>
          <w:numId w:val="3"/>
        </w:numPr>
        <w:tabs>
          <w:tab w:pos="1209" w:val="left" w:leader="none"/>
        </w:tabs>
        <w:spacing w:line="211" w:lineRule="auto" w:before="0" w:after="0"/>
        <w:ind w:left="1540" w:right="836" w:hanging="720"/>
        <w:jc w:val="left"/>
        <w:rPr>
          <w:sz w:val="24"/>
        </w:rPr>
      </w:pPr>
      <w:r>
        <w:rPr>
          <w:rFonts w:ascii="Arial" w:hAnsi="Arial"/>
          <w:sz w:val="24"/>
        </w:rPr>
        <w:t>G </w:t>
      </w:r>
      <w:r>
        <w:rPr>
          <w:sz w:val="24"/>
        </w:rPr>
        <w:t>Vulnerable adult financial exploitation compensatory damages or $10,000, whichever is greater. Minn. Stat. §§ 626.557, Subd. 20, 626.5572, Subd.</w:t>
      </w:r>
      <w:r>
        <w:rPr>
          <w:spacing w:val="-5"/>
          <w:sz w:val="24"/>
        </w:rPr>
        <w:t> </w:t>
      </w:r>
      <w:r>
        <w:rPr>
          <w:spacing w:val="-9"/>
          <w:sz w:val="24"/>
        </w:rPr>
        <w:t>9.</w:t>
      </w:r>
    </w:p>
    <w:p>
      <w:pPr>
        <w:pStyle w:val="BodyText"/>
        <w:spacing w:before="9"/>
        <w:rPr>
          <w:sz w:val="18"/>
        </w:rPr>
      </w:pPr>
    </w:p>
    <w:p>
      <w:pPr>
        <w:pStyle w:val="ListParagraph"/>
        <w:numPr>
          <w:ilvl w:val="1"/>
          <w:numId w:val="3"/>
        </w:numPr>
        <w:tabs>
          <w:tab w:pos="1209" w:val="left" w:leader="none"/>
        </w:tabs>
        <w:spacing w:line="240" w:lineRule="auto" w:before="0" w:after="0"/>
        <w:ind w:left="1208" w:right="0" w:hanging="389"/>
        <w:jc w:val="left"/>
        <w:rPr>
          <w:sz w:val="24"/>
        </w:rPr>
      </w:pPr>
      <w:r>
        <w:rPr>
          <w:rFonts w:ascii="Arial"/>
          <w:sz w:val="24"/>
        </w:rPr>
        <w:t>G </w:t>
      </w:r>
      <w:r>
        <w:rPr>
          <w:sz w:val="24"/>
        </w:rPr>
        <w:t>Attorney</w:t>
      </w:r>
      <w:r>
        <w:rPr>
          <w:spacing w:val="-5"/>
          <w:sz w:val="24"/>
        </w:rPr>
        <w:t> </w:t>
      </w:r>
      <w:r>
        <w:rPr>
          <w:sz w:val="24"/>
        </w:rPr>
        <w:t>fees:</w:t>
      </w:r>
    </w:p>
    <w:p>
      <w:pPr>
        <w:pStyle w:val="BodyText"/>
        <w:spacing w:before="7"/>
        <w:rPr>
          <w:sz w:val="20"/>
        </w:rPr>
      </w:pPr>
    </w:p>
    <w:p>
      <w:pPr>
        <w:pStyle w:val="ListParagraph"/>
        <w:numPr>
          <w:ilvl w:val="2"/>
          <w:numId w:val="3"/>
        </w:numPr>
        <w:tabs>
          <w:tab w:pos="2259" w:val="left" w:leader="none"/>
          <w:tab w:pos="2260" w:val="left" w:leader="none"/>
          <w:tab w:pos="2979" w:val="left" w:leader="none"/>
        </w:tabs>
        <w:spacing w:line="211" w:lineRule="auto" w:before="0" w:after="0"/>
        <w:ind w:left="2980" w:right="136" w:hanging="1440"/>
        <w:jc w:val="left"/>
        <w:rPr>
          <w:sz w:val="24"/>
        </w:rPr>
      </w:pPr>
      <w:r>
        <w:rPr>
          <w:rFonts w:ascii="Arial" w:hAnsi="Arial"/>
          <w:sz w:val="24"/>
        </w:rPr>
        <w:t>G</w:t>
        <w:tab/>
      </w:r>
      <w:r>
        <w:rPr>
          <w:sz w:val="24"/>
        </w:rPr>
        <w:t>Do not award Plaintiff attorney fees beyond $5.00 in a </w:t>
      </w:r>
      <w:r>
        <w:rPr>
          <w:spacing w:val="-3"/>
          <w:sz w:val="24"/>
        </w:rPr>
        <w:t>nonpayment </w:t>
      </w:r>
      <w:r>
        <w:rPr>
          <w:sz w:val="24"/>
        </w:rPr>
        <w:t>of rent case. Minn. Stat. § 504B.291 (formerly 504.02); </w:t>
      </w:r>
      <w:r>
        <w:rPr>
          <w:i/>
          <w:sz w:val="24"/>
        </w:rPr>
        <w:t>Cheyenne Land Co. v. Wilde</w:t>
      </w:r>
      <w:r>
        <w:rPr>
          <w:sz w:val="24"/>
        </w:rPr>
        <w:t>, 463 N.W.2d 539 (Minn. Ct. App.</w:t>
      </w:r>
      <w:r>
        <w:rPr>
          <w:spacing w:val="-3"/>
          <w:sz w:val="24"/>
        </w:rPr>
        <w:t> </w:t>
      </w:r>
      <w:r>
        <w:rPr>
          <w:sz w:val="24"/>
        </w:rPr>
        <w:t>1990).</w:t>
      </w:r>
    </w:p>
    <w:p>
      <w:pPr>
        <w:pStyle w:val="ListParagraph"/>
        <w:numPr>
          <w:ilvl w:val="2"/>
          <w:numId w:val="3"/>
        </w:numPr>
        <w:tabs>
          <w:tab w:pos="2259" w:val="left" w:leader="none"/>
          <w:tab w:pos="2260" w:val="left" w:leader="none"/>
          <w:tab w:pos="2979" w:val="left" w:leader="none"/>
        </w:tabs>
        <w:spacing w:line="211" w:lineRule="auto" w:before="3" w:after="0"/>
        <w:ind w:left="2980" w:right="136" w:hanging="1440"/>
        <w:jc w:val="left"/>
        <w:rPr>
          <w:sz w:val="24"/>
        </w:rPr>
      </w:pPr>
      <w:r>
        <w:rPr>
          <w:rFonts w:ascii="Arial" w:hAnsi="Arial"/>
          <w:sz w:val="24"/>
        </w:rPr>
        <w:t>G</w:t>
        <w:tab/>
      </w:r>
      <w:r>
        <w:rPr>
          <w:sz w:val="24"/>
        </w:rPr>
        <w:t>Award me attorney fees, because my lease began on or after Au- gust 1, 2011, or was renewed on or after </w:t>
      </w:r>
      <w:r>
        <w:rPr>
          <w:spacing w:val="-3"/>
          <w:sz w:val="24"/>
        </w:rPr>
        <w:t>August </w:t>
      </w:r>
      <w:r>
        <w:rPr>
          <w:sz w:val="24"/>
        </w:rPr>
        <w:t>1, 2012, it pro- vides for attorney fees to Plaintiff’s or the landlord’s attorneys, so</w:t>
      </w:r>
      <w:r>
        <w:rPr>
          <w:spacing w:val="-24"/>
          <w:sz w:val="24"/>
        </w:rPr>
        <w:t> </w:t>
      </w:r>
      <w:r>
        <w:rPr>
          <w:spacing w:val="-17"/>
          <w:sz w:val="24"/>
        </w:rPr>
        <w:t>I </w:t>
      </w:r>
      <w:r>
        <w:rPr>
          <w:sz w:val="24"/>
        </w:rPr>
        <w:t>am entitled to attorney fees if I prevail. Minn. Stat. §</w:t>
      </w:r>
      <w:r>
        <w:rPr>
          <w:spacing w:val="41"/>
          <w:sz w:val="24"/>
        </w:rPr>
        <w:t> </w:t>
      </w:r>
      <w:r>
        <w:rPr>
          <w:sz w:val="24"/>
        </w:rPr>
        <w:t>504B.172.</w:t>
      </w:r>
    </w:p>
    <w:p>
      <w:pPr>
        <w:pStyle w:val="BodyText"/>
        <w:spacing w:before="10"/>
        <w:rPr>
          <w:sz w:val="18"/>
        </w:rPr>
      </w:pPr>
    </w:p>
    <w:p>
      <w:pPr>
        <w:pStyle w:val="ListParagraph"/>
        <w:numPr>
          <w:ilvl w:val="1"/>
          <w:numId w:val="3"/>
        </w:numPr>
        <w:tabs>
          <w:tab w:pos="1209" w:val="left" w:leader="none"/>
          <w:tab w:pos="9293" w:val="left" w:leader="none"/>
        </w:tabs>
        <w:spacing w:line="240" w:lineRule="auto" w:before="0" w:after="0"/>
        <w:ind w:left="1208" w:right="0" w:hanging="389"/>
        <w:jc w:val="left"/>
        <w:rPr>
          <w:sz w:val="24"/>
        </w:rPr>
      </w:pPr>
      <w:r>
        <w:rPr>
          <w:rFonts w:ascii="Arial"/>
          <w:sz w:val="24"/>
        </w:rPr>
        <w:t>G </w:t>
      </w:r>
      <w:r>
        <w:rPr>
          <w:rFonts w:ascii="Arial"/>
          <w:spacing w:val="10"/>
          <w:sz w:val="24"/>
        </w:rPr>
        <w:t> </w:t>
      </w:r>
      <w:r>
        <w:rPr>
          <w:sz w:val="24"/>
        </w:rPr>
        <w:t>Other:</w:t>
      </w:r>
      <w:r>
        <w:rPr>
          <w:sz w:val="24"/>
          <w:u w:val="single"/>
        </w:rPr>
        <w:t> </w:t>
        <w:tab/>
      </w:r>
      <w:r>
        <w:rPr>
          <w:sz w:val="24"/>
        </w:rPr>
        <w:t>.</w:t>
      </w:r>
    </w:p>
    <w:p>
      <w:pPr>
        <w:spacing w:after="0" w:line="240" w:lineRule="auto"/>
        <w:jc w:val="left"/>
        <w:rPr>
          <w:sz w:val="24"/>
        </w:rPr>
        <w:sectPr>
          <w:pgSz w:w="12240" w:h="15840"/>
          <w:pgMar w:header="0" w:footer="1121" w:top="1040" w:bottom="1320" w:left="1340" w:right="1340"/>
        </w:sectPr>
      </w:pPr>
    </w:p>
    <w:p>
      <w:pPr>
        <w:pStyle w:val="Heading1"/>
        <w:numPr>
          <w:ilvl w:val="0"/>
          <w:numId w:val="3"/>
        </w:numPr>
        <w:tabs>
          <w:tab w:pos="819" w:val="left" w:leader="none"/>
          <w:tab w:pos="820" w:val="left" w:leader="none"/>
        </w:tabs>
        <w:spacing w:line="240" w:lineRule="auto" w:before="46" w:after="0"/>
        <w:ind w:left="820" w:right="0" w:hanging="720"/>
        <w:jc w:val="left"/>
      </w:pPr>
      <w:r>
        <w:rPr/>
        <w:t>CERTIFICATIONS</w:t>
      </w:r>
    </w:p>
    <w:p>
      <w:pPr>
        <w:pStyle w:val="ListParagraph"/>
        <w:numPr>
          <w:ilvl w:val="1"/>
          <w:numId w:val="3"/>
        </w:numPr>
        <w:tabs>
          <w:tab w:pos="1208" w:val="left" w:leader="none"/>
          <w:tab w:pos="1209" w:val="left" w:leader="none"/>
        </w:tabs>
        <w:spacing w:line="240" w:lineRule="auto" w:before="206" w:after="0"/>
        <w:ind w:left="1208" w:right="0" w:hanging="389"/>
        <w:jc w:val="left"/>
        <w:rPr>
          <w:sz w:val="24"/>
        </w:rPr>
      </w:pPr>
      <w:r>
        <w:rPr>
          <w:sz w:val="24"/>
        </w:rPr>
        <w:t>Under Minn. R. Civ. P. 11, I certify that, to the best of my</w:t>
      </w:r>
      <w:r>
        <w:rPr>
          <w:spacing w:val="-25"/>
          <w:sz w:val="24"/>
        </w:rPr>
        <w:t> </w:t>
      </w:r>
      <w:r>
        <w:rPr>
          <w:sz w:val="24"/>
        </w:rPr>
        <w:t>knowledge:</w:t>
      </w:r>
    </w:p>
    <w:p>
      <w:pPr>
        <w:pStyle w:val="BodyText"/>
        <w:spacing w:before="8"/>
        <w:rPr>
          <w:sz w:val="20"/>
        </w:rPr>
      </w:pPr>
    </w:p>
    <w:p>
      <w:pPr>
        <w:pStyle w:val="ListParagraph"/>
        <w:numPr>
          <w:ilvl w:val="2"/>
          <w:numId w:val="3"/>
        </w:numPr>
        <w:tabs>
          <w:tab w:pos="2259" w:val="left" w:leader="none"/>
          <w:tab w:pos="2260" w:val="left" w:leader="none"/>
        </w:tabs>
        <w:spacing w:line="211" w:lineRule="auto" w:before="1" w:after="0"/>
        <w:ind w:left="2260" w:right="229" w:hanging="720"/>
        <w:jc w:val="left"/>
        <w:rPr>
          <w:sz w:val="24"/>
        </w:rPr>
      </w:pPr>
      <w:r>
        <w:rPr>
          <w:sz w:val="24"/>
        </w:rPr>
        <w:t>this document is not being presented for any improper purpose, such as</w:t>
      </w:r>
      <w:r>
        <w:rPr>
          <w:spacing w:val="-18"/>
          <w:sz w:val="24"/>
        </w:rPr>
        <w:t> </w:t>
      </w:r>
      <w:r>
        <w:rPr>
          <w:spacing w:val="-8"/>
          <w:sz w:val="24"/>
        </w:rPr>
        <w:t>to </w:t>
      </w:r>
      <w:r>
        <w:rPr>
          <w:sz w:val="24"/>
        </w:rPr>
        <w:t>harass or to cause unnecessary delay or needless increase in the cost of litigation;</w:t>
      </w:r>
    </w:p>
    <w:p>
      <w:pPr>
        <w:pStyle w:val="ListParagraph"/>
        <w:numPr>
          <w:ilvl w:val="2"/>
          <w:numId w:val="3"/>
        </w:numPr>
        <w:tabs>
          <w:tab w:pos="2259" w:val="left" w:leader="none"/>
          <w:tab w:pos="2260" w:val="left" w:leader="none"/>
        </w:tabs>
        <w:spacing w:line="211" w:lineRule="auto" w:before="1" w:after="0"/>
        <w:ind w:left="2260" w:right="268" w:hanging="720"/>
        <w:jc w:val="left"/>
        <w:rPr>
          <w:sz w:val="24"/>
        </w:rPr>
      </w:pPr>
      <w:r>
        <w:rPr>
          <w:sz w:val="24"/>
        </w:rPr>
        <w:t>the claims, defenses, and other legal contentions therein are warranted </w:t>
      </w:r>
      <w:r>
        <w:rPr>
          <w:spacing w:val="-9"/>
          <w:sz w:val="24"/>
        </w:rPr>
        <w:t>by </w:t>
      </w:r>
      <w:r>
        <w:rPr>
          <w:sz w:val="24"/>
        </w:rPr>
        <w:t>existing law or by a nonfrivolous argument for the extension, modifica- tion, or reversal of existing law or the establishment of new</w:t>
      </w:r>
      <w:r>
        <w:rPr>
          <w:spacing w:val="-3"/>
          <w:sz w:val="24"/>
        </w:rPr>
        <w:t> </w:t>
      </w:r>
      <w:r>
        <w:rPr>
          <w:sz w:val="24"/>
        </w:rPr>
        <w:t>law;</w:t>
      </w:r>
    </w:p>
    <w:p>
      <w:pPr>
        <w:pStyle w:val="ListParagraph"/>
        <w:numPr>
          <w:ilvl w:val="2"/>
          <w:numId w:val="3"/>
        </w:numPr>
        <w:tabs>
          <w:tab w:pos="2259" w:val="left" w:leader="none"/>
          <w:tab w:pos="2260" w:val="left" w:leader="none"/>
        </w:tabs>
        <w:spacing w:line="211" w:lineRule="auto" w:before="3" w:after="0"/>
        <w:ind w:left="2260" w:right="127" w:hanging="720"/>
        <w:jc w:val="left"/>
        <w:rPr>
          <w:sz w:val="24"/>
        </w:rPr>
      </w:pPr>
      <w:r>
        <w:rPr>
          <w:sz w:val="24"/>
        </w:rPr>
        <w:t>the allegations and other factual contentions have evidentiary support or,</w:t>
      </w:r>
      <w:r>
        <w:rPr>
          <w:spacing w:val="-21"/>
          <w:sz w:val="24"/>
        </w:rPr>
        <w:t> </w:t>
      </w:r>
      <w:r>
        <w:rPr>
          <w:spacing w:val="-8"/>
          <w:sz w:val="24"/>
        </w:rPr>
        <w:t>if </w:t>
      </w:r>
      <w:r>
        <w:rPr>
          <w:sz w:val="24"/>
        </w:rPr>
        <w:t>specifically so identified, are likely to have evidentiary support after a reasonable opportunity for further investigation or</w:t>
      </w:r>
      <w:r>
        <w:rPr>
          <w:spacing w:val="-15"/>
          <w:sz w:val="24"/>
        </w:rPr>
        <w:t> </w:t>
      </w:r>
      <w:r>
        <w:rPr>
          <w:sz w:val="24"/>
        </w:rPr>
        <w:t>discovery;</w:t>
      </w:r>
    </w:p>
    <w:p>
      <w:pPr>
        <w:pStyle w:val="ListParagraph"/>
        <w:numPr>
          <w:ilvl w:val="2"/>
          <w:numId w:val="3"/>
        </w:numPr>
        <w:tabs>
          <w:tab w:pos="2259" w:val="left" w:leader="none"/>
          <w:tab w:pos="2260" w:val="left" w:leader="none"/>
        </w:tabs>
        <w:spacing w:line="211" w:lineRule="auto" w:before="1" w:after="0"/>
        <w:ind w:left="2260" w:right="203" w:hanging="720"/>
        <w:jc w:val="left"/>
        <w:rPr>
          <w:sz w:val="24"/>
        </w:rPr>
      </w:pPr>
      <w:r>
        <w:rPr>
          <w:sz w:val="24"/>
        </w:rPr>
        <w:t>the denials of factual contentions are warranted on the evidence or, if specifically so identified, are reasonably based on a lack of information</w:t>
      </w:r>
      <w:r>
        <w:rPr>
          <w:spacing w:val="-23"/>
          <w:sz w:val="24"/>
        </w:rPr>
        <w:t> </w:t>
      </w:r>
      <w:r>
        <w:rPr>
          <w:spacing w:val="-9"/>
          <w:sz w:val="24"/>
        </w:rPr>
        <w:t>or </w:t>
      </w:r>
      <w:r>
        <w:rPr>
          <w:sz w:val="24"/>
        </w:rPr>
        <w:t>belief; and</w:t>
      </w:r>
    </w:p>
    <w:p>
      <w:pPr>
        <w:pStyle w:val="ListParagraph"/>
        <w:numPr>
          <w:ilvl w:val="2"/>
          <w:numId w:val="3"/>
        </w:numPr>
        <w:tabs>
          <w:tab w:pos="2259" w:val="left" w:leader="none"/>
          <w:tab w:pos="2260" w:val="left" w:leader="none"/>
        </w:tabs>
        <w:spacing w:line="211" w:lineRule="auto" w:before="3" w:after="0"/>
        <w:ind w:left="2260" w:right="679" w:hanging="720"/>
        <w:jc w:val="left"/>
        <w:rPr>
          <w:sz w:val="24"/>
        </w:rPr>
      </w:pPr>
      <w:r>
        <w:rPr>
          <w:sz w:val="24"/>
        </w:rPr>
        <w:t>this document does not include any restricted identifiers and that all restricted identifiers have been submitted in a confidential manner </w:t>
      </w:r>
      <w:r>
        <w:rPr>
          <w:spacing w:val="-9"/>
          <w:sz w:val="24"/>
        </w:rPr>
        <w:t>as </w:t>
      </w:r>
      <w:r>
        <w:rPr>
          <w:sz w:val="24"/>
        </w:rPr>
        <w:t>required by Minn. R. Gen. Prac.</w:t>
      </w:r>
      <w:r>
        <w:rPr>
          <w:spacing w:val="-11"/>
          <w:sz w:val="24"/>
        </w:rPr>
        <w:t> </w:t>
      </w:r>
      <w:r>
        <w:rPr>
          <w:sz w:val="24"/>
        </w:rPr>
        <w:t>11.</w:t>
      </w:r>
    </w:p>
    <w:p>
      <w:pPr>
        <w:pStyle w:val="BodyText"/>
        <w:spacing w:before="1"/>
        <w:rPr>
          <w:sz w:val="19"/>
        </w:rPr>
      </w:pPr>
    </w:p>
    <w:p>
      <w:pPr>
        <w:pStyle w:val="BodyText"/>
        <w:ind w:left="100"/>
      </w:pPr>
      <w:r>
        <w:rPr/>
        <w:t>I know that I may be fined or sanctioned by the court if this certification is false.</w:t>
      </w:r>
    </w:p>
    <w:p>
      <w:pPr>
        <w:pStyle w:val="BodyText"/>
        <w:spacing w:before="8"/>
        <w:rPr>
          <w:sz w:val="20"/>
        </w:rPr>
      </w:pPr>
    </w:p>
    <w:p>
      <w:pPr>
        <w:pStyle w:val="ListParagraph"/>
        <w:numPr>
          <w:ilvl w:val="1"/>
          <w:numId w:val="3"/>
        </w:numPr>
        <w:tabs>
          <w:tab w:pos="1208" w:val="left" w:leader="none"/>
          <w:tab w:pos="1209" w:val="left" w:leader="none"/>
        </w:tabs>
        <w:spacing w:line="211" w:lineRule="auto" w:before="0" w:after="0"/>
        <w:ind w:left="1208" w:right="591" w:hanging="389"/>
        <w:jc w:val="left"/>
        <w:rPr>
          <w:sz w:val="24"/>
        </w:rPr>
      </w:pPr>
      <w:r>
        <w:rPr>
          <w:sz w:val="24"/>
        </w:rPr>
        <w:t>Under Minn. Stat. § 358.116, I declare under penalty of perjury that everything</w:t>
      </w:r>
      <w:r>
        <w:rPr>
          <w:spacing w:val="-41"/>
          <w:sz w:val="24"/>
        </w:rPr>
        <w:t> </w:t>
      </w:r>
      <w:r>
        <w:rPr>
          <w:spacing w:val="-16"/>
          <w:sz w:val="24"/>
        </w:rPr>
        <w:t>I </w:t>
      </w:r>
      <w:r>
        <w:rPr>
          <w:sz w:val="24"/>
        </w:rPr>
        <w:t>have stated in this document is true and correct.</w:t>
      </w:r>
    </w:p>
    <w:p>
      <w:pPr>
        <w:pStyle w:val="BodyText"/>
        <w:rPr>
          <w:sz w:val="20"/>
        </w:rPr>
      </w:pPr>
    </w:p>
    <w:p>
      <w:pPr>
        <w:pStyle w:val="BodyText"/>
        <w:rPr>
          <w:sz w:val="29"/>
        </w:rPr>
      </w:pPr>
      <w:r>
        <w:rPr/>
        <w:pict>
          <v:shape style="position:absolute;margin-left:81pt;margin-top:18.917906pt;width:216pt;height:.1pt;mso-position-horizontal-relative:page;mso-position-vertical-relative:paragraph;z-index:-251652096;mso-wrap-distance-left:0;mso-wrap-distance-right:0" coordorigin="1620,378" coordsize="4320,0" path="m1620,378l5940,378e" filled="false" stroked="true" strokeweight=".492pt" strokecolor="#000000">
            <v:path arrowok="t"/>
            <v:stroke dashstyle="solid"/>
            <w10:wrap type="topAndBottom"/>
          </v:shape>
        </w:pict>
      </w:r>
      <w:r>
        <w:rPr/>
        <w:pict>
          <v:shape style="position:absolute;margin-left:315pt;margin-top:18.917906pt;width:216pt;height:.1pt;mso-position-horizontal-relative:page;mso-position-vertical-relative:paragraph;z-index:-251651072;mso-wrap-distance-left:0;mso-wrap-distance-right:0" coordorigin="6300,378" coordsize="4320,0" path="m6300,378l10620,378e" filled="false" stroked="true" strokeweight=".492pt" strokecolor="#000000">
            <v:path arrowok="t"/>
            <v:stroke dashstyle="solid"/>
            <w10:wrap type="topAndBottom"/>
          </v:shape>
        </w:pict>
      </w:r>
    </w:p>
    <w:p>
      <w:pPr>
        <w:pStyle w:val="BodyText"/>
        <w:tabs>
          <w:tab w:pos="5432" w:val="left" w:leader="none"/>
        </w:tabs>
        <w:spacing w:line="216" w:lineRule="exact"/>
        <w:ind w:left="2214"/>
      </w:pPr>
      <w:r>
        <w:rPr/>
        <w:t>Date</w:t>
        <w:tab/>
        <w:t>Tenant/Tenant’s Attorney or</w:t>
      </w:r>
      <w:r>
        <w:rPr>
          <w:spacing w:val="-13"/>
        </w:rPr>
        <w:t> </w:t>
      </w:r>
      <w:r>
        <w:rPr/>
        <w:t>Agent</w:t>
      </w:r>
    </w:p>
    <w:p>
      <w:pPr>
        <w:pStyle w:val="BodyText"/>
        <w:spacing w:before="10"/>
        <w:rPr>
          <w:sz w:val="10"/>
        </w:rPr>
      </w:pPr>
    </w:p>
    <w:p>
      <w:pPr>
        <w:pStyle w:val="BodyText"/>
        <w:tabs>
          <w:tab w:pos="4959" w:val="left" w:leader="none"/>
          <w:tab w:pos="9334" w:val="left" w:leader="none"/>
        </w:tabs>
        <w:spacing w:before="60"/>
        <w:ind w:left="263"/>
      </w:pPr>
      <w:r>
        <w:rPr/>
        <w:t>County and State Where Document </w:t>
      </w:r>
      <w:r>
        <w:rPr>
          <w:spacing w:val="-5"/>
        </w:rPr>
        <w:t>Is</w:t>
      </w:r>
      <w:r>
        <w:rPr>
          <w:spacing w:val="-7"/>
        </w:rPr>
        <w:t> </w:t>
      </w:r>
      <w:r>
        <w:rPr/>
        <w:t>Signed</w:t>
        <w:tab/>
      </w:r>
      <w:r>
        <w:rPr>
          <w:u w:val="single"/>
        </w:rPr>
        <w:t> </w:t>
        <w:tab/>
      </w:r>
    </w:p>
    <w:p>
      <w:pPr>
        <w:pStyle w:val="BodyText"/>
        <w:rPr>
          <w:sz w:val="20"/>
        </w:rPr>
      </w:pPr>
    </w:p>
    <w:p>
      <w:pPr>
        <w:pStyle w:val="BodyText"/>
        <w:spacing w:before="1"/>
        <w:rPr>
          <w:sz w:val="18"/>
        </w:rPr>
      </w:pPr>
      <w:r>
        <w:rPr/>
        <w:pict>
          <v:shape style="position:absolute;margin-left:78pt;margin-top:12.602927pt;width:222pt;height:.1pt;mso-position-horizontal-relative:page;mso-position-vertical-relative:paragraph;z-index:-251650048;mso-wrap-distance-left:0;mso-wrap-distance-right:0" coordorigin="1560,252" coordsize="4440,0" path="m1560,252l6000,252e" filled="false" stroked="true" strokeweight=".492pt" strokecolor="#000000">
            <v:path arrowok="t"/>
            <v:stroke dashstyle="solid"/>
            <w10:wrap type="topAndBottom"/>
          </v:shape>
        </w:pict>
      </w:r>
      <w:r>
        <w:rPr/>
        <w:pict>
          <v:shape style="position:absolute;margin-left:315pt;margin-top:12.602927pt;width:216pt;height:.1pt;mso-position-horizontal-relative:page;mso-position-vertical-relative:paragraph;z-index:-251649024;mso-wrap-distance-left:0;mso-wrap-distance-right:0" coordorigin="6300,252" coordsize="4320,0" path="m6300,252l10620,252e" filled="false" stroked="true" strokeweight=".492pt" strokecolor="#000000">
            <v:path arrowok="t"/>
            <v:stroke dashstyle="solid"/>
            <w10:wrap type="topAndBottom"/>
          </v:shape>
        </w:pict>
      </w:r>
    </w:p>
    <w:p>
      <w:pPr>
        <w:pStyle w:val="BodyText"/>
        <w:tabs>
          <w:tab w:pos="4683" w:val="left" w:leader="none"/>
        </w:tabs>
        <w:spacing w:line="213" w:lineRule="exact"/>
        <w:ind w:left="44"/>
        <w:jc w:val="center"/>
      </w:pPr>
      <w:r>
        <w:rPr/>
        <w:t>County</w:t>
        <w:tab/>
        <w:t>Address</w:t>
      </w:r>
    </w:p>
    <w:p>
      <w:pPr>
        <w:pStyle w:val="BodyText"/>
        <w:rPr>
          <w:sz w:val="20"/>
        </w:rPr>
      </w:pPr>
    </w:p>
    <w:p>
      <w:pPr>
        <w:pStyle w:val="BodyText"/>
        <w:spacing w:before="1"/>
        <w:rPr>
          <w:sz w:val="18"/>
        </w:rPr>
      </w:pPr>
      <w:r>
        <w:rPr/>
        <w:pict>
          <v:shape style="position:absolute;margin-left:78pt;margin-top:12.611259pt;width:222pt;height:.1pt;mso-position-horizontal-relative:page;mso-position-vertical-relative:paragraph;z-index:-251648000;mso-wrap-distance-left:0;mso-wrap-distance-right:0" coordorigin="1560,252" coordsize="4440,0" path="m1560,252l6000,252e" filled="false" stroked="true" strokeweight=".492pt" strokecolor="#000000">
            <v:path arrowok="t"/>
            <v:stroke dashstyle="solid"/>
            <w10:wrap type="topAndBottom"/>
          </v:shape>
        </w:pict>
      </w:r>
      <w:r>
        <w:rPr/>
        <w:pict>
          <v:shape style="position:absolute;margin-left:315pt;margin-top:12.611259pt;width:216pt;height:.1pt;mso-position-horizontal-relative:page;mso-position-vertical-relative:paragraph;z-index:-251646976;mso-wrap-distance-left:0;mso-wrap-distance-right:0" coordorigin="6300,252" coordsize="4320,0" path="m6300,252l10620,252e" filled="false" stroked="true" strokeweight=".492pt" strokecolor="#000000">
            <v:path arrowok="t"/>
            <v:stroke dashstyle="solid"/>
            <w10:wrap type="topAndBottom"/>
          </v:shape>
        </w:pict>
      </w:r>
    </w:p>
    <w:p>
      <w:pPr>
        <w:pStyle w:val="BodyText"/>
        <w:tabs>
          <w:tab w:pos="4679" w:val="left" w:leader="none"/>
        </w:tabs>
        <w:spacing w:line="216" w:lineRule="exact"/>
        <w:ind w:left="60"/>
        <w:jc w:val="center"/>
      </w:pPr>
      <w:r>
        <w:rPr/>
        <w:t>State</w:t>
        <w:tab/>
        <w:t>Phone</w:t>
      </w:r>
    </w:p>
    <w:sectPr>
      <w:pgSz w:w="12240" w:h="15840"/>
      <w:pgMar w:header="0" w:footer="1121" w:top="1040" w:bottom="132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24.971497pt;width:178.6pt;height:14pt;mso-position-horizontal-relative:page;mso-position-vertical-relative:page;z-index:-252129280" type="#_x0000_t202" filled="false" stroked="false">
          <v:textbox inset="0,0,0,0">
            <w:txbxContent>
              <w:p>
                <w:pPr>
                  <w:pStyle w:val="BodyText"/>
                  <w:spacing w:line="255" w:lineRule="exact"/>
                  <w:ind w:left="20"/>
                </w:pPr>
                <w:r>
                  <w:rPr/>
                  <w:t>No. A-1v1 (Poverty </w:t>
                </w:r>
                <w:r>
                  <w:rPr>
                    <w:spacing w:val="-3"/>
                  </w:rPr>
                  <w:t>Law </w:t>
                </w:r>
                <w:r>
                  <w:rPr/>
                  <w:t>Aug. 2020)</w:t>
                </w:r>
              </w:p>
            </w:txbxContent>
          </v:textbox>
          <w10:wrap type="none"/>
        </v:shape>
      </w:pict>
    </w:r>
    <w:r>
      <w:rPr/>
      <w:pict>
        <v:shape style="position:absolute;margin-left:296.880005pt;margin-top:724.971497pt;width:18pt;height:14pt;mso-position-horizontal-relative:page;mso-position-vertical-relative:page;z-index:-252128256" type="#_x0000_t202" filled="false" stroked="false">
          <v:textbox inset="0,0,0,0">
            <w:txbxContent>
              <w:p>
                <w:pPr>
                  <w:pStyle w:val="BodyText"/>
                  <w:spacing w:line="255" w:lineRule="exact"/>
                  <w:ind w:left="60"/>
                </w:pPr>
                <w:r>
                  <w:rPr/>
                  <w:fldChar w:fldCharType="begin"/>
                </w:r>
                <w:r>
                  <w:rPr/>
                  <w:instrText> PAGE </w:instrText>
                </w:r>
                <w:r>
                  <w:rPr/>
                  <w:fldChar w:fldCharType="separate"/>
                </w:r>
                <w:r>
                  <w:rPr/>
                  <w:t>10</w:t>
                </w:r>
                <w:r>
                  <w:rPr/>
                  <w:fldChar w:fldCharType="end"/>
                </w:r>
              </w:p>
            </w:txbxContent>
          </v:textbox>
          <w10:wrap type="none"/>
        </v:shape>
      </w:pict>
    </w:r>
    <w:r>
      <w:rPr/>
      <w:pict>
        <v:shape style="position:absolute;margin-left:404.23999pt;margin-top:724.971497pt;width:136.75pt;height:14pt;mso-position-horizontal-relative:page;mso-position-vertical-relative:page;z-index:-252127232" type="#_x0000_t202" filled="false" stroked="false">
          <v:textbox inset="0,0,0,0">
            <w:txbxContent>
              <w:p>
                <w:pPr>
                  <w:pStyle w:val="BodyText"/>
                  <w:spacing w:line="255" w:lineRule="exact"/>
                  <w:ind w:left="20"/>
                </w:pPr>
                <w:r>
                  <w:rPr/>
                  <w:t>Private Tenancy - EO 20-79</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decimal"/>
      <w:lvlText w:val="%1."/>
      <w:lvlJc w:val="left"/>
      <w:pPr>
        <w:ind w:left="1540" w:hanging="389"/>
        <w:jc w:val="left"/>
      </w:pPr>
      <w:rPr>
        <w:rFonts w:hint="default" w:ascii="Times New Roman" w:hAnsi="Times New Roman" w:eastAsia="Times New Roman" w:cs="Times New Roman"/>
        <w:spacing w:val="-16"/>
        <w:w w:val="99"/>
        <w:sz w:val="24"/>
        <w:szCs w:val="24"/>
      </w:rPr>
    </w:lvl>
    <w:lvl w:ilvl="1">
      <w:start w:val="1"/>
      <w:numFmt w:val="lowerLetter"/>
      <w:lvlText w:val="%2."/>
      <w:lvlJc w:val="left"/>
      <w:pPr>
        <w:ind w:left="2260" w:hanging="720"/>
        <w:jc w:val="left"/>
      </w:pPr>
      <w:rPr>
        <w:rFonts w:hint="default" w:ascii="Times New Roman" w:hAnsi="Times New Roman" w:eastAsia="Times New Roman" w:cs="Times New Roman"/>
        <w:w w:val="100"/>
        <w:sz w:val="24"/>
        <w:szCs w:val="24"/>
      </w:rPr>
    </w:lvl>
    <w:lvl w:ilvl="2">
      <w:start w:val="0"/>
      <w:numFmt w:val="bullet"/>
      <w:lvlText w:val="•"/>
      <w:lvlJc w:val="left"/>
      <w:pPr>
        <w:ind w:left="3071" w:hanging="720"/>
      </w:pPr>
      <w:rPr>
        <w:rFonts w:hint="default"/>
      </w:rPr>
    </w:lvl>
    <w:lvl w:ilvl="3">
      <w:start w:val="0"/>
      <w:numFmt w:val="bullet"/>
      <w:lvlText w:val="•"/>
      <w:lvlJc w:val="left"/>
      <w:pPr>
        <w:ind w:left="3882" w:hanging="720"/>
      </w:pPr>
      <w:rPr>
        <w:rFonts w:hint="default"/>
      </w:rPr>
    </w:lvl>
    <w:lvl w:ilvl="4">
      <w:start w:val="0"/>
      <w:numFmt w:val="bullet"/>
      <w:lvlText w:val="•"/>
      <w:lvlJc w:val="left"/>
      <w:pPr>
        <w:ind w:left="4693" w:hanging="720"/>
      </w:pPr>
      <w:rPr>
        <w:rFonts w:hint="default"/>
      </w:rPr>
    </w:lvl>
    <w:lvl w:ilvl="5">
      <w:start w:val="0"/>
      <w:numFmt w:val="bullet"/>
      <w:lvlText w:val="•"/>
      <w:lvlJc w:val="left"/>
      <w:pPr>
        <w:ind w:left="5504" w:hanging="720"/>
      </w:pPr>
      <w:rPr>
        <w:rFonts w:hint="default"/>
      </w:rPr>
    </w:lvl>
    <w:lvl w:ilvl="6">
      <w:start w:val="0"/>
      <w:numFmt w:val="bullet"/>
      <w:lvlText w:val="•"/>
      <w:lvlJc w:val="left"/>
      <w:pPr>
        <w:ind w:left="6315" w:hanging="720"/>
      </w:pPr>
      <w:rPr>
        <w:rFonts w:hint="default"/>
      </w:rPr>
    </w:lvl>
    <w:lvl w:ilvl="7">
      <w:start w:val="0"/>
      <w:numFmt w:val="bullet"/>
      <w:lvlText w:val="•"/>
      <w:lvlJc w:val="left"/>
      <w:pPr>
        <w:ind w:left="7126" w:hanging="720"/>
      </w:pPr>
      <w:rPr>
        <w:rFonts w:hint="default"/>
      </w:rPr>
    </w:lvl>
    <w:lvl w:ilvl="8">
      <w:start w:val="0"/>
      <w:numFmt w:val="bullet"/>
      <w:lvlText w:val="•"/>
      <w:lvlJc w:val="left"/>
      <w:pPr>
        <w:ind w:left="7937" w:hanging="720"/>
      </w:pPr>
      <w:rPr>
        <w:rFonts w:hint="default"/>
      </w:rPr>
    </w:lvl>
  </w:abstractNum>
  <w:abstractNum w:abstractNumId="3">
    <w:multiLevelType w:val="hybridMultilevel"/>
    <w:lvl w:ilvl="0">
      <w:start w:val="0"/>
      <w:numFmt w:val="decimal"/>
      <w:lvlText w:val="%1."/>
      <w:lvlJc w:val="left"/>
      <w:pPr>
        <w:ind w:left="1540" w:hanging="389"/>
        <w:jc w:val="left"/>
      </w:pPr>
      <w:rPr>
        <w:rFonts w:hint="default" w:ascii="Times New Roman" w:hAnsi="Times New Roman" w:eastAsia="Times New Roman" w:cs="Times New Roman"/>
        <w:spacing w:val="-16"/>
        <w:w w:val="100"/>
        <w:sz w:val="24"/>
        <w:szCs w:val="24"/>
      </w:rPr>
    </w:lvl>
    <w:lvl w:ilvl="1">
      <w:start w:val="1"/>
      <w:numFmt w:val="lowerLetter"/>
      <w:lvlText w:val="%2."/>
      <w:lvlJc w:val="left"/>
      <w:pPr>
        <w:ind w:left="2980" w:hanging="720"/>
        <w:jc w:val="left"/>
      </w:pPr>
      <w:rPr>
        <w:rFonts w:hint="default" w:ascii="Times New Roman" w:hAnsi="Times New Roman" w:eastAsia="Times New Roman" w:cs="Times New Roman"/>
        <w:w w:val="100"/>
        <w:sz w:val="24"/>
        <w:szCs w:val="24"/>
      </w:rPr>
    </w:lvl>
    <w:lvl w:ilvl="2">
      <w:start w:val="1"/>
      <w:numFmt w:val="upperRoman"/>
      <w:lvlText w:val="%3."/>
      <w:lvlJc w:val="left"/>
      <w:pPr>
        <w:ind w:left="3700" w:hanging="720"/>
        <w:jc w:val="left"/>
      </w:pPr>
      <w:rPr>
        <w:rFonts w:hint="default" w:ascii="Times New Roman" w:hAnsi="Times New Roman" w:eastAsia="Times New Roman" w:cs="Times New Roman"/>
        <w:spacing w:val="-6"/>
        <w:w w:val="99"/>
        <w:sz w:val="24"/>
        <w:szCs w:val="24"/>
      </w:rPr>
    </w:lvl>
    <w:lvl w:ilvl="3">
      <w:start w:val="0"/>
      <w:numFmt w:val="bullet"/>
      <w:lvlText w:val="•"/>
      <w:lvlJc w:val="left"/>
      <w:pPr>
        <w:ind w:left="3700" w:hanging="720"/>
      </w:pPr>
      <w:rPr>
        <w:rFonts w:hint="default"/>
      </w:rPr>
    </w:lvl>
    <w:lvl w:ilvl="4">
      <w:start w:val="0"/>
      <w:numFmt w:val="bullet"/>
      <w:lvlText w:val="•"/>
      <w:lvlJc w:val="left"/>
      <w:pPr>
        <w:ind w:left="4537" w:hanging="720"/>
      </w:pPr>
      <w:rPr>
        <w:rFonts w:hint="default"/>
      </w:rPr>
    </w:lvl>
    <w:lvl w:ilvl="5">
      <w:start w:val="0"/>
      <w:numFmt w:val="bullet"/>
      <w:lvlText w:val="•"/>
      <w:lvlJc w:val="left"/>
      <w:pPr>
        <w:ind w:left="5374" w:hanging="720"/>
      </w:pPr>
      <w:rPr>
        <w:rFonts w:hint="default"/>
      </w:rPr>
    </w:lvl>
    <w:lvl w:ilvl="6">
      <w:start w:val="0"/>
      <w:numFmt w:val="bullet"/>
      <w:lvlText w:val="•"/>
      <w:lvlJc w:val="left"/>
      <w:pPr>
        <w:ind w:left="6211" w:hanging="720"/>
      </w:pPr>
      <w:rPr>
        <w:rFonts w:hint="default"/>
      </w:rPr>
    </w:lvl>
    <w:lvl w:ilvl="7">
      <w:start w:val="0"/>
      <w:numFmt w:val="bullet"/>
      <w:lvlText w:val="•"/>
      <w:lvlJc w:val="left"/>
      <w:pPr>
        <w:ind w:left="7048" w:hanging="720"/>
      </w:pPr>
      <w:rPr>
        <w:rFonts w:hint="default"/>
      </w:rPr>
    </w:lvl>
    <w:lvl w:ilvl="8">
      <w:start w:val="0"/>
      <w:numFmt w:val="bullet"/>
      <w:lvlText w:val="•"/>
      <w:lvlJc w:val="left"/>
      <w:pPr>
        <w:ind w:left="7885" w:hanging="720"/>
      </w:pPr>
      <w:rPr>
        <w:rFonts w:hint="default"/>
      </w:rPr>
    </w:lvl>
  </w:abstractNum>
  <w:abstractNum w:abstractNumId="2">
    <w:multiLevelType w:val="hybridMultilevel"/>
    <w:lvl w:ilvl="0">
      <w:start w:val="1"/>
      <w:numFmt w:val="upperLetter"/>
      <w:lvlText w:val="%1."/>
      <w:lvlJc w:val="left"/>
      <w:pPr>
        <w:ind w:left="820" w:hanging="720"/>
        <w:jc w:val="left"/>
      </w:pPr>
      <w:rPr>
        <w:rFonts w:hint="default" w:ascii="Times New Roman" w:hAnsi="Times New Roman" w:eastAsia="Times New Roman" w:cs="Times New Roman"/>
        <w:b/>
        <w:bCs/>
        <w:w w:val="99"/>
        <w:sz w:val="24"/>
        <w:szCs w:val="24"/>
      </w:rPr>
    </w:lvl>
    <w:lvl w:ilvl="1">
      <w:start w:val="1"/>
      <w:numFmt w:val="decimal"/>
      <w:lvlText w:val="%2."/>
      <w:lvlJc w:val="left"/>
      <w:pPr>
        <w:ind w:left="1208" w:hanging="389"/>
        <w:jc w:val="left"/>
      </w:pPr>
      <w:rPr>
        <w:rFonts w:hint="default" w:ascii="Times New Roman" w:hAnsi="Times New Roman" w:eastAsia="Times New Roman" w:cs="Times New Roman"/>
        <w:spacing w:val="-8"/>
        <w:w w:val="99"/>
        <w:sz w:val="24"/>
        <w:szCs w:val="24"/>
      </w:rPr>
    </w:lvl>
    <w:lvl w:ilvl="2">
      <w:start w:val="1"/>
      <w:numFmt w:val="lowerLetter"/>
      <w:lvlText w:val="%3."/>
      <w:lvlJc w:val="left"/>
      <w:pPr>
        <w:ind w:left="2260" w:hanging="720"/>
        <w:jc w:val="left"/>
      </w:pPr>
      <w:rPr>
        <w:rFonts w:hint="default" w:ascii="Times New Roman" w:hAnsi="Times New Roman" w:eastAsia="Times New Roman" w:cs="Times New Roman"/>
        <w:w w:val="100"/>
        <w:sz w:val="24"/>
        <w:szCs w:val="24"/>
      </w:rPr>
    </w:lvl>
    <w:lvl w:ilvl="3">
      <w:start w:val="1"/>
      <w:numFmt w:val="upperRoman"/>
      <w:lvlText w:val="%4."/>
      <w:lvlJc w:val="left"/>
      <w:pPr>
        <w:ind w:left="2980" w:hanging="720"/>
        <w:jc w:val="left"/>
      </w:pPr>
      <w:rPr>
        <w:rFonts w:hint="default" w:ascii="Times New Roman" w:hAnsi="Times New Roman" w:eastAsia="Times New Roman" w:cs="Times New Roman"/>
        <w:spacing w:val="-6"/>
        <w:w w:val="99"/>
        <w:sz w:val="24"/>
        <w:szCs w:val="24"/>
      </w:rPr>
    </w:lvl>
    <w:lvl w:ilvl="4">
      <w:start w:val="0"/>
      <w:numFmt w:val="bullet"/>
      <w:lvlText w:val="•"/>
      <w:lvlJc w:val="left"/>
      <w:pPr>
        <w:ind w:left="2980" w:hanging="720"/>
      </w:pPr>
      <w:rPr>
        <w:rFonts w:hint="default"/>
      </w:rPr>
    </w:lvl>
    <w:lvl w:ilvl="5">
      <w:start w:val="0"/>
      <w:numFmt w:val="bullet"/>
      <w:lvlText w:val="•"/>
      <w:lvlJc w:val="left"/>
      <w:pPr>
        <w:ind w:left="4076" w:hanging="720"/>
      </w:pPr>
      <w:rPr>
        <w:rFonts w:hint="default"/>
      </w:rPr>
    </w:lvl>
    <w:lvl w:ilvl="6">
      <w:start w:val="0"/>
      <w:numFmt w:val="bullet"/>
      <w:lvlText w:val="•"/>
      <w:lvlJc w:val="left"/>
      <w:pPr>
        <w:ind w:left="5173" w:hanging="720"/>
      </w:pPr>
      <w:rPr>
        <w:rFonts w:hint="default"/>
      </w:rPr>
    </w:lvl>
    <w:lvl w:ilvl="7">
      <w:start w:val="0"/>
      <w:numFmt w:val="bullet"/>
      <w:lvlText w:val="•"/>
      <w:lvlJc w:val="left"/>
      <w:pPr>
        <w:ind w:left="6270" w:hanging="720"/>
      </w:pPr>
      <w:rPr>
        <w:rFonts w:hint="default"/>
      </w:rPr>
    </w:lvl>
    <w:lvl w:ilvl="8">
      <w:start w:val="0"/>
      <w:numFmt w:val="bullet"/>
      <w:lvlText w:val="•"/>
      <w:lvlJc w:val="left"/>
      <w:pPr>
        <w:ind w:left="7366" w:hanging="720"/>
      </w:pPr>
      <w:rPr>
        <w:rFonts w:hint="default"/>
      </w:rPr>
    </w:lvl>
  </w:abstractNum>
  <w:abstractNum w:abstractNumId="1">
    <w:multiLevelType w:val="hybridMultilevel"/>
    <w:lvl w:ilvl="0">
      <w:start w:val="6"/>
      <w:numFmt w:val="decimal"/>
      <w:lvlText w:val="%1."/>
      <w:lvlJc w:val="left"/>
      <w:pPr>
        <w:ind w:left="1208" w:hanging="389"/>
        <w:jc w:val="left"/>
      </w:pPr>
      <w:rPr>
        <w:rFonts w:hint="default" w:ascii="Times New Roman" w:hAnsi="Times New Roman" w:eastAsia="Times New Roman" w:cs="Times New Roman"/>
        <w:spacing w:val="-12"/>
        <w:w w:val="99"/>
        <w:sz w:val="24"/>
        <w:szCs w:val="24"/>
      </w:rPr>
    </w:lvl>
    <w:lvl w:ilvl="1">
      <w:start w:val="0"/>
      <w:numFmt w:val="bullet"/>
      <w:lvlText w:val="•"/>
      <w:lvlJc w:val="left"/>
      <w:pPr>
        <w:ind w:left="2036" w:hanging="389"/>
      </w:pPr>
      <w:rPr>
        <w:rFonts w:hint="default"/>
      </w:rPr>
    </w:lvl>
    <w:lvl w:ilvl="2">
      <w:start w:val="0"/>
      <w:numFmt w:val="bullet"/>
      <w:lvlText w:val="•"/>
      <w:lvlJc w:val="left"/>
      <w:pPr>
        <w:ind w:left="2872" w:hanging="389"/>
      </w:pPr>
      <w:rPr>
        <w:rFonts w:hint="default"/>
      </w:rPr>
    </w:lvl>
    <w:lvl w:ilvl="3">
      <w:start w:val="0"/>
      <w:numFmt w:val="bullet"/>
      <w:lvlText w:val="•"/>
      <w:lvlJc w:val="left"/>
      <w:pPr>
        <w:ind w:left="3708" w:hanging="389"/>
      </w:pPr>
      <w:rPr>
        <w:rFonts w:hint="default"/>
      </w:rPr>
    </w:lvl>
    <w:lvl w:ilvl="4">
      <w:start w:val="0"/>
      <w:numFmt w:val="bullet"/>
      <w:lvlText w:val="•"/>
      <w:lvlJc w:val="left"/>
      <w:pPr>
        <w:ind w:left="4544" w:hanging="389"/>
      </w:pPr>
      <w:rPr>
        <w:rFonts w:hint="default"/>
      </w:rPr>
    </w:lvl>
    <w:lvl w:ilvl="5">
      <w:start w:val="0"/>
      <w:numFmt w:val="bullet"/>
      <w:lvlText w:val="•"/>
      <w:lvlJc w:val="left"/>
      <w:pPr>
        <w:ind w:left="5380" w:hanging="389"/>
      </w:pPr>
      <w:rPr>
        <w:rFonts w:hint="default"/>
      </w:rPr>
    </w:lvl>
    <w:lvl w:ilvl="6">
      <w:start w:val="0"/>
      <w:numFmt w:val="bullet"/>
      <w:lvlText w:val="•"/>
      <w:lvlJc w:val="left"/>
      <w:pPr>
        <w:ind w:left="6216" w:hanging="389"/>
      </w:pPr>
      <w:rPr>
        <w:rFonts w:hint="default"/>
      </w:rPr>
    </w:lvl>
    <w:lvl w:ilvl="7">
      <w:start w:val="0"/>
      <w:numFmt w:val="bullet"/>
      <w:lvlText w:val="•"/>
      <w:lvlJc w:val="left"/>
      <w:pPr>
        <w:ind w:left="7052" w:hanging="389"/>
      </w:pPr>
      <w:rPr>
        <w:rFonts w:hint="default"/>
      </w:rPr>
    </w:lvl>
    <w:lvl w:ilvl="8">
      <w:start w:val="0"/>
      <w:numFmt w:val="bullet"/>
      <w:lvlText w:val="•"/>
      <w:lvlJc w:val="left"/>
      <w:pPr>
        <w:ind w:left="7888" w:hanging="389"/>
      </w:pPr>
      <w:rPr>
        <w:rFonts w:hint="default"/>
      </w:rPr>
    </w:lvl>
  </w:abstractNum>
  <w:abstractNum w:abstractNumId="0">
    <w:multiLevelType w:val="hybridMultilevel"/>
    <w:lvl w:ilvl="0">
      <w:start w:val="1"/>
      <w:numFmt w:val="decimal"/>
      <w:lvlText w:val="%1."/>
      <w:lvlJc w:val="left"/>
      <w:pPr>
        <w:ind w:left="1540" w:hanging="389"/>
        <w:jc w:val="left"/>
      </w:pPr>
      <w:rPr>
        <w:rFonts w:hint="default" w:ascii="Times New Roman" w:hAnsi="Times New Roman" w:eastAsia="Times New Roman" w:cs="Times New Roman"/>
        <w:spacing w:val="-14"/>
        <w:w w:val="99"/>
        <w:sz w:val="24"/>
        <w:szCs w:val="24"/>
      </w:rPr>
    </w:lvl>
    <w:lvl w:ilvl="1">
      <w:start w:val="1"/>
      <w:numFmt w:val="lowerLetter"/>
      <w:lvlText w:val="%2."/>
      <w:lvlJc w:val="left"/>
      <w:pPr>
        <w:ind w:left="2260" w:hanging="720"/>
        <w:jc w:val="left"/>
      </w:pPr>
      <w:rPr>
        <w:rFonts w:hint="default" w:ascii="Times New Roman" w:hAnsi="Times New Roman" w:eastAsia="Times New Roman" w:cs="Times New Roman"/>
        <w:w w:val="100"/>
        <w:sz w:val="24"/>
        <w:szCs w:val="24"/>
      </w:rPr>
    </w:lvl>
    <w:lvl w:ilvl="2">
      <w:start w:val="0"/>
      <w:numFmt w:val="bullet"/>
      <w:lvlText w:val="•"/>
      <w:lvlJc w:val="left"/>
      <w:pPr>
        <w:ind w:left="3071" w:hanging="720"/>
      </w:pPr>
      <w:rPr>
        <w:rFonts w:hint="default"/>
      </w:rPr>
    </w:lvl>
    <w:lvl w:ilvl="3">
      <w:start w:val="0"/>
      <w:numFmt w:val="bullet"/>
      <w:lvlText w:val="•"/>
      <w:lvlJc w:val="left"/>
      <w:pPr>
        <w:ind w:left="3882" w:hanging="720"/>
      </w:pPr>
      <w:rPr>
        <w:rFonts w:hint="default"/>
      </w:rPr>
    </w:lvl>
    <w:lvl w:ilvl="4">
      <w:start w:val="0"/>
      <w:numFmt w:val="bullet"/>
      <w:lvlText w:val="•"/>
      <w:lvlJc w:val="left"/>
      <w:pPr>
        <w:ind w:left="4693" w:hanging="720"/>
      </w:pPr>
      <w:rPr>
        <w:rFonts w:hint="default"/>
      </w:rPr>
    </w:lvl>
    <w:lvl w:ilvl="5">
      <w:start w:val="0"/>
      <w:numFmt w:val="bullet"/>
      <w:lvlText w:val="•"/>
      <w:lvlJc w:val="left"/>
      <w:pPr>
        <w:ind w:left="5504" w:hanging="720"/>
      </w:pPr>
      <w:rPr>
        <w:rFonts w:hint="default"/>
      </w:rPr>
    </w:lvl>
    <w:lvl w:ilvl="6">
      <w:start w:val="0"/>
      <w:numFmt w:val="bullet"/>
      <w:lvlText w:val="•"/>
      <w:lvlJc w:val="left"/>
      <w:pPr>
        <w:ind w:left="6315" w:hanging="720"/>
      </w:pPr>
      <w:rPr>
        <w:rFonts w:hint="default"/>
      </w:rPr>
    </w:lvl>
    <w:lvl w:ilvl="7">
      <w:start w:val="0"/>
      <w:numFmt w:val="bullet"/>
      <w:lvlText w:val="•"/>
      <w:lvlJc w:val="left"/>
      <w:pPr>
        <w:ind w:left="7126" w:hanging="720"/>
      </w:pPr>
      <w:rPr>
        <w:rFonts w:hint="default"/>
      </w:rPr>
    </w:lvl>
    <w:lvl w:ilvl="8">
      <w:start w:val="0"/>
      <w:numFmt w:val="bullet"/>
      <w:lvlText w:val="•"/>
      <w:lvlJc w:val="left"/>
      <w:pPr>
        <w:ind w:left="7937" w:hanging="72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820" w:hanging="72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540" w:hanging="72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2020-11-09T17:14:09Z</dcterms:created>
  <dcterms:modified xsi:type="dcterms:W3CDTF">2020-11-09T17:14:09Z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2020-08-04T00:00:00Z</vt:filetime>
  </property>
  <property fmtid="{D5CDD505-2E9C-101B-9397-08002B2CF9AE}" pid="3" name="Creator">
    <vt:lpwstr>PDFium</vt:lpwstr>
  </property>
  <property fmtid="{D5CDD505-2E9C-101B-9397-08002B2CF9AE}" pid="4" name="LastSaved">
    <vt:filetime>2020-08-04T00:00:00Z</vt:filetime>
  </property>
</Properties>
</file>